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F43" w:rsidRDefault="00136CDB" w:rsidP="00462CC7">
      <w:pPr>
        <w:jc w:val="center"/>
        <w:rPr>
          <w:b/>
          <w:color w:val="70AD47" w:themeColor="accent6"/>
          <w:sz w:val="36"/>
          <w:szCs w:val="36"/>
        </w:rPr>
      </w:pPr>
      <w:r>
        <w:rPr>
          <w:b/>
          <w:color w:val="70AD47" w:themeColor="accent6"/>
          <w:sz w:val="36"/>
          <w:szCs w:val="36"/>
        </w:rPr>
        <w:t>CIJFERS 2022</w:t>
      </w:r>
      <w:r w:rsidR="00462CC7" w:rsidRPr="009D5D9A">
        <w:rPr>
          <w:b/>
          <w:color w:val="70AD47" w:themeColor="accent6"/>
          <w:sz w:val="36"/>
          <w:szCs w:val="36"/>
        </w:rPr>
        <w:t xml:space="preserve"> HUISARTSEN DE BURGT</w:t>
      </w:r>
    </w:p>
    <w:p w:rsidR="0014206C" w:rsidRPr="00A60073" w:rsidRDefault="00115618" w:rsidP="0014206C">
      <w:pPr>
        <w:pStyle w:val="Kop2"/>
        <w:rPr>
          <w:color w:val="70AD47" w:themeColor="accent6"/>
          <w:sz w:val="22"/>
          <w:szCs w:val="22"/>
        </w:rPr>
      </w:pPr>
      <w:r w:rsidRPr="00A60073">
        <w:rPr>
          <w:color w:val="70AD47" w:themeColor="accent6"/>
          <w:sz w:val="22"/>
          <w:szCs w:val="22"/>
        </w:rPr>
        <w:t>We voeren diverse spreekuren en taken uit. Een aantal van deze taken komen hieronder aan bod. Jaarlijks houden we dit tegen het licht om te bekijken hoe het gaat en of</w:t>
      </w:r>
      <w:r w:rsidR="00A60073" w:rsidRPr="00A60073">
        <w:rPr>
          <w:color w:val="70AD47" w:themeColor="accent6"/>
          <w:sz w:val="22"/>
          <w:szCs w:val="22"/>
        </w:rPr>
        <w:t xml:space="preserve"> we voldoen aan de eisen die aa</w:t>
      </w:r>
      <w:r w:rsidRPr="00A60073">
        <w:rPr>
          <w:color w:val="70AD47" w:themeColor="accent6"/>
          <w:sz w:val="22"/>
          <w:szCs w:val="22"/>
        </w:rPr>
        <w:t xml:space="preserve">n ons </w:t>
      </w:r>
      <w:r w:rsidR="00A60073" w:rsidRPr="00A60073">
        <w:rPr>
          <w:color w:val="70AD47" w:themeColor="accent6"/>
          <w:sz w:val="22"/>
          <w:szCs w:val="22"/>
        </w:rPr>
        <w:t>worden gesteld</w:t>
      </w:r>
    </w:p>
    <w:p w:rsidR="00462CC7" w:rsidRPr="0014206C" w:rsidRDefault="00462CC7" w:rsidP="009D5D9A">
      <w:pPr>
        <w:pStyle w:val="Kop1"/>
        <w:rPr>
          <w:b/>
          <w:color w:val="70AD47" w:themeColor="accent6"/>
          <w:sz w:val="28"/>
          <w:szCs w:val="28"/>
        </w:rPr>
      </w:pPr>
      <w:bookmarkStart w:id="0" w:name="_GoBack"/>
      <w:bookmarkEnd w:id="0"/>
      <w:r w:rsidRPr="0014206C">
        <w:rPr>
          <w:b/>
          <w:color w:val="70AD47" w:themeColor="accent6"/>
          <w:sz w:val="28"/>
          <w:szCs w:val="28"/>
        </w:rPr>
        <w:t xml:space="preserve">DIABETES </w:t>
      </w:r>
    </w:p>
    <w:p w:rsidR="004334C1" w:rsidRPr="009D3876" w:rsidRDefault="004334C1" w:rsidP="004334C1">
      <w:r w:rsidRPr="009D3876">
        <w:t xml:space="preserve">In de praktijk </w:t>
      </w:r>
      <w:r>
        <w:t xml:space="preserve">waren er afgelopen jaar </w:t>
      </w:r>
      <w:r w:rsidR="00E54949" w:rsidRPr="00E54949">
        <w:t xml:space="preserve">396 </w:t>
      </w:r>
      <w:r>
        <w:t xml:space="preserve">patiënten </w:t>
      </w:r>
      <w:r w:rsidRPr="009D3876">
        <w:t>met Diabetes Mellitus type 2, waarvan er</w:t>
      </w:r>
      <w:r>
        <w:t xml:space="preserve"> </w:t>
      </w:r>
      <w:r w:rsidR="00A54695">
        <w:t xml:space="preserve">371 </w:t>
      </w:r>
      <w:r w:rsidRPr="009D3876">
        <w:t>actief deelnemen aan he</w:t>
      </w:r>
      <w:r>
        <w:t xml:space="preserve">t ketenzorgprogramma. </w:t>
      </w:r>
      <w:r w:rsidRPr="009D3876">
        <w:t xml:space="preserve">In de zorg voor patiënten met Diabetes Mellitus type 2 wordt er gekeken naar een aantal zaken zoals: complicaties van de ogen/ voeten/nieren, waarden van de glucose, bloeddruk en lengte/gewicht. Daarnaast wordt er actief gesproken over het positief veranderen van leefstijl om zo complicaties tegen te gaan en kwaliteit van leven te bevorderen. </w:t>
      </w:r>
      <w:r w:rsidR="00E54949">
        <w:t xml:space="preserve">Dit jaar kregen wij vanuit zorggroep Huisartsen Eemland de opdracht om </w:t>
      </w:r>
      <w:r w:rsidR="00B31C0C">
        <w:t xml:space="preserve">bij minimaal 52% </w:t>
      </w:r>
      <w:r w:rsidR="00E54949">
        <w:t>het Hba1c van de patiënten</w:t>
      </w:r>
      <w:r w:rsidR="00B31C0C">
        <w:t xml:space="preserve"> die</w:t>
      </w:r>
      <w:r w:rsidR="00E54949">
        <w:t xml:space="preserve"> jonger </w:t>
      </w:r>
      <w:r w:rsidR="00B31C0C">
        <w:t xml:space="preserve">zijn </w:t>
      </w:r>
      <w:r w:rsidR="00E54949">
        <w:t xml:space="preserve">dan 70 jaar </w:t>
      </w:r>
      <w:r w:rsidR="00B31C0C">
        <w:t xml:space="preserve">een Hba1c van &lt;53 te bereiken. </w:t>
      </w:r>
    </w:p>
    <w:p w:rsidR="004334C1" w:rsidRPr="009D3876" w:rsidRDefault="004334C1" w:rsidP="004334C1">
      <w:r w:rsidRPr="009D3876">
        <w:t xml:space="preserve">Hieronder een aantal </w:t>
      </w:r>
      <w:r w:rsidR="00B31C0C">
        <w:t>cijfers over de uitvoer van de</w:t>
      </w:r>
      <w:r w:rsidRPr="009D3876">
        <w:t xml:space="preserve"> controles</w:t>
      </w:r>
      <w:r w:rsidR="00B31C0C">
        <w:t xml:space="preserve"> en het Hba1c</w:t>
      </w:r>
      <w:r w:rsidRPr="009D3876">
        <w:t>;</w:t>
      </w: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1"/>
        <w:gridCol w:w="5304"/>
      </w:tblGrid>
      <w:tr w:rsidR="006C1E09" w:rsidRPr="009D3876" w:rsidTr="006C1E09">
        <w:trPr>
          <w:trHeight w:val="243"/>
        </w:trPr>
        <w:tc>
          <w:tcPr>
            <w:tcW w:w="3871" w:type="dxa"/>
            <w:shd w:val="clear" w:color="auto" w:fill="C5E0B3" w:themeFill="accent6" w:themeFillTint="66"/>
          </w:tcPr>
          <w:p w:rsidR="006C1E09" w:rsidRPr="006C1E09" w:rsidRDefault="006C1E09" w:rsidP="007B4355">
            <w:pPr>
              <w:rPr>
                <w:b/>
                <w:iCs/>
              </w:rPr>
            </w:pPr>
            <w:r w:rsidRPr="006C1E09">
              <w:rPr>
                <w:b/>
                <w:iCs/>
              </w:rPr>
              <w:t>Indicatoren</w:t>
            </w:r>
          </w:p>
        </w:tc>
        <w:tc>
          <w:tcPr>
            <w:tcW w:w="5304" w:type="dxa"/>
            <w:shd w:val="clear" w:color="auto" w:fill="C5E0B3" w:themeFill="accent6" w:themeFillTint="66"/>
          </w:tcPr>
          <w:p w:rsidR="006C1E09" w:rsidRPr="006C1E09" w:rsidRDefault="006C1E09" w:rsidP="007B4355">
            <w:pPr>
              <w:rPr>
                <w:b/>
                <w:bCs/>
              </w:rPr>
            </w:pPr>
            <w:r w:rsidRPr="006C1E09">
              <w:rPr>
                <w:b/>
                <w:bCs/>
              </w:rPr>
              <w:t>Percentages</w:t>
            </w:r>
          </w:p>
        </w:tc>
      </w:tr>
      <w:tr w:rsidR="004334C1" w:rsidRPr="009D3876" w:rsidTr="006C1E09">
        <w:trPr>
          <w:trHeight w:val="243"/>
        </w:trPr>
        <w:tc>
          <w:tcPr>
            <w:tcW w:w="3871" w:type="dxa"/>
          </w:tcPr>
          <w:p w:rsidR="004334C1" w:rsidRPr="00E54949" w:rsidRDefault="004334C1" w:rsidP="007B4355">
            <w:r w:rsidRPr="00E54949">
              <w:rPr>
                <w:i/>
                <w:iCs/>
              </w:rPr>
              <w:t xml:space="preserve">Percentage patiënten dat een oogcontrole heeft gehad in de afgelopen 3 jaar </w:t>
            </w:r>
          </w:p>
        </w:tc>
        <w:tc>
          <w:tcPr>
            <w:tcW w:w="5304" w:type="dxa"/>
          </w:tcPr>
          <w:p w:rsidR="004334C1" w:rsidRPr="00E54949" w:rsidRDefault="00E54949" w:rsidP="007B4355">
            <w:r w:rsidRPr="00E54949">
              <w:rPr>
                <w:bCs/>
              </w:rPr>
              <w:t>86.61</w:t>
            </w:r>
            <w:r w:rsidR="004334C1" w:rsidRPr="00E54949">
              <w:rPr>
                <w:bCs/>
              </w:rPr>
              <w:t xml:space="preserve">% van de populatie in ketenzorg </w:t>
            </w:r>
          </w:p>
        </w:tc>
      </w:tr>
      <w:tr w:rsidR="004334C1" w:rsidRPr="009D3876" w:rsidTr="006C1E09">
        <w:trPr>
          <w:trHeight w:val="249"/>
        </w:trPr>
        <w:tc>
          <w:tcPr>
            <w:tcW w:w="3871" w:type="dxa"/>
          </w:tcPr>
          <w:p w:rsidR="004334C1" w:rsidRPr="00E54949" w:rsidRDefault="00A54695" w:rsidP="007B4355">
            <w:r w:rsidRPr="00E54949">
              <w:rPr>
                <w:i/>
                <w:iCs/>
              </w:rPr>
              <w:t>Percentage dat in 2022</w:t>
            </w:r>
            <w:r w:rsidR="004334C1" w:rsidRPr="00E54949">
              <w:rPr>
                <w:i/>
                <w:iCs/>
              </w:rPr>
              <w:t xml:space="preserve"> een controle op de nierfunctie heeft gehad </w:t>
            </w:r>
          </w:p>
        </w:tc>
        <w:tc>
          <w:tcPr>
            <w:tcW w:w="5304" w:type="dxa"/>
          </w:tcPr>
          <w:p w:rsidR="004334C1" w:rsidRPr="00E54949" w:rsidRDefault="00E54949" w:rsidP="007B4355">
            <w:r w:rsidRPr="00E54949">
              <w:rPr>
                <w:bCs/>
              </w:rPr>
              <w:t>93.75</w:t>
            </w:r>
            <w:r w:rsidR="004334C1" w:rsidRPr="00E54949">
              <w:rPr>
                <w:bCs/>
              </w:rPr>
              <w:t xml:space="preserve">% van de populatie in ketenzorg </w:t>
            </w:r>
          </w:p>
        </w:tc>
      </w:tr>
      <w:tr w:rsidR="004334C1" w:rsidRPr="009D3876" w:rsidTr="006C1E09">
        <w:trPr>
          <w:trHeight w:val="244"/>
        </w:trPr>
        <w:tc>
          <w:tcPr>
            <w:tcW w:w="3871" w:type="dxa"/>
          </w:tcPr>
          <w:p w:rsidR="004334C1" w:rsidRPr="00E54949" w:rsidRDefault="00A54695" w:rsidP="007B4355">
            <w:r w:rsidRPr="00E54949">
              <w:rPr>
                <w:i/>
                <w:iCs/>
              </w:rPr>
              <w:t>Percentage dat in 2022</w:t>
            </w:r>
            <w:r w:rsidR="004334C1" w:rsidRPr="00E54949">
              <w:rPr>
                <w:i/>
                <w:iCs/>
              </w:rPr>
              <w:t xml:space="preserve"> een controle op de voeten heeft gehad </w:t>
            </w:r>
          </w:p>
        </w:tc>
        <w:tc>
          <w:tcPr>
            <w:tcW w:w="5304" w:type="dxa"/>
          </w:tcPr>
          <w:p w:rsidR="004334C1" w:rsidRPr="00E54949" w:rsidRDefault="00E54949" w:rsidP="007B4355">
            <w:r w:rsidRPr="00E54949">
              <w:rPr>
                <w:bCs/>
              </w:rPr>
              <w:t>85.71</w:t>
            </w:r>
            <w:r w:rsidR="004334C1" w:rsidRPr="00E54949">
              <w:rPr>
                <w:bCs/>
              </w:rPr>
              <w:t xml:space="preserve">% van de populatie in ketenzorg. </w:t>
            </w:r>
          </w:p>
        </w:tc>
      </w:tr>
      <w:tr w:rsidR="00A54695" w:rsidRPr="009D3876" w:rsidTr="00A54695">
        <w:trPr>
          <w:trHeight w:val="244"/>
        </w:trPr>
        <w:tc>
          <w:tcPr>
            <w:tcW w:w="3871" w:type="dxa"/>
            <w:shd w:val="clear" w:color="auto" w:fill="FFFFFF" w:themeFill="background1"/>
          </w:tcPr>
          <w:p w:rsidR="00A54695" w:rsidRPr="00E54949" w:rsidRDefault="00A54695" w:rsidP="007B4355">
            <w:pPr>
              <w:rPr>
                <w:i/>
                <w:iCs/>
              </w:rPr>
            </w:pPr>
            <w:r w:rsidRPr="00E54949">
              <w:rPr>
                <w:i/>
              </w:rPr>
              <w:t xml:space="preserve">Percentage  met een leeftijd onder de 70 jaar (&lt; 70) en een HbA1c bepaling in de afgelopen 12 maanden en een uitkomst van 53 </w:t>
            </w:r>
            <w:proofErr w:type="spellStart"/>
            <w:r w:rsidRPr="00E54949">
              <w:rPr>
                <w:i/>
              </w:rPr>
              <w:t>mmol</w:t>
            </w:r>
            <w:proofErr w:type="spellEnd"/>
            <w:r w:rsidRPr="00E54949">
              <w:rPr>
                <w:i/>
              </w:rPr>
              <w:t>/mol of lager (≤ 53</w:t>
            </w:r>
            <w:r w:rsidRPr="00E54949">
              <w:rPr>
                <w:rFonts w:ascii="Calibri" w:hAnsi="Calibri" w:cs="Calibri"/>
                <w:i/>
                <w:shd w:val="clear" w:color="auto" w:fill="F2FAED"/>
              </w:rPr>
              <w:t>)</w:t>
            </w:r>
          </w:p>
        </w:tc>
        <w:tc>
          <w:tcPr>
            <w:tcW w:w="5304" w:type="dxa"/>
          </w:tcPr>
          <w:p w:rsidR="00A54695" w:rsidRPr="00E54949" w:rsidRDefault="00A54695" w:rsidP="007B4355">
            <w:pPr>
              <w:rPr>
                <w:bCs/>
              </w:rPr>
            </w:pPr>
            <w:r w:rsidRPr="00E54949">
              <w:rPr>
                <w:bCs/>
              </w:rPr>
              <w:t>56,13% van de populatie in ketenzorg</w:t>
            </w:r>
          </w:p>
        </w:tc>
      </w:tr>
    </w:tbl>
    <w:p w:rsidR="004334C1" w:rsidRDefault="004334C1" w:rsidP="00462CC7">
      <w:pPr>
        <w:rPr>
          <w:rFonts w:cs="Calibri"/>
          <w:b/>
          <w:color w:val="000000"/>
        </w:rPr>
      </w:pPr>
    </w:p>
    <w:p w:rsidR="004334C1" w:rsidRPr="0014206C" w:rsidRDefault="004334C1" w:rsidP="009D5D9A">
      <w:pPr>
        <w:pStyle w:val="Kop1"/>
        <w:rPr>
          <w:b/>
          <w:color w:val="70AD47" w:themeColor="accent6"/>
          <w:sz w:val="28"/>
          <w:szCs w:val="28"/>
        </w:rPr>
      </w:pPr>
      <w:r w:rsidRPr="0014206C">
        <w:rPr>
          <w:b/>
          <w:color w:val="70AD47" w:themeColor="accent6"/>
          <w:sz w:val="28"/>
          <w:szCs w:val="28"/>
        </w:rPr>
        <w:t>CVRM</w:t>
      </w:r>
    </w:p>
    <w:p w:rsidR="004334C1" w:rsidRDefault="004334C1" w:rsidP="004334C1">
      <w:pPr>
        <w:rPr>
          <w:rFonts w:cs="Calibri"/>
          <w:color w:val="000000"/>
        </w:rPr>
      </w:pPr>
      <w:r w:rsidRPr="000F71A8">
        <w:rPr>
          <w:rFonts w:cs="Calibri"/>
          <w:color w:val="000000"/>
        </w:rPr>
        <w:t>In de prakt</w:t>
      </w:r>
      <w:r>
        <w:rPr>
          <w:rFonts w:cs="Calibri"/>
          <w:color w:val="000000"/>
        </w:rPr>
        <w:t xml:space="preserve">ijk waren er afgelopen jaar </w:t>
      </w:r>
      <w:r w:rsidR="009D0DE3">
        <w:rPr>
          <w:rFonts w:cs="Calibri"/>
          <w:color w:val="000000"/>
        </w:rPr>
        <w:t>1130</w:t>
      </w:r>
      <w:r>
        <w:rPr>
          <w:rFonts w:cs="Calibri"/>
          <w:color w:val="000000"/>
        </w:rPr>
        <w:t xml:space="preserve"> </w:t>
      </w:r>
      <w:r w:rsidRPr="000F71A8">
        <w:rPr>
          <w:rFonts w:cs="Calibri"/>
          <w:color w:val="000000"/>
        </w:rPr>
        <w:t>patiënten</w:t>
      </w:r>
      <w:r>
        <w:rPr>
          <w:rFonts w:cs="Calibri"/>
          <w:color w:val="000000"/>
        </w:rPr>
        <w:t xml:space="preserve"> onder controle voor hart- en vaatziekten. Binnen deze patiëntenpopulatie hebben </w:t>
      </w:r>
      <w:r w:rsidR="009D0DE3">
        <w:rPr>
          <w:rFonts w:cs="Calibri"/>
          <w:color w:val="000000"/>
        </w:rPr>
        <w:t>562</w:t>
      </w:r>
      <w:r>
        <w:rPr>
          <w:rFonts w:cs="Calibri"/>
          <w:color w:val="000000"/>
        </w:rPr>
        <w:t xml:space="preserve"> patiënten een verhoogd risico op het krijgen van een hart/vaatziekte, dit word ook wel primaire preventie genoemd. De patiënten welke al bekend zijn met een hart/vaatziekte komen in aanmerking voor secundaire preventi</w:t>
      </w:r>
      <w:r w:rsidR="0030724A">
        <w:rPr>
          <w:rFonts w:cs="Calibri"/>
          <w:color w:val="000000"/>
        </w:rPr>
        <w:t xml:space="preserve">e, dat waren afgelopen jaar 355 </w:t>
      </w:r>
      <w:r>
        <w:rPr>
          <w:rFonts w:cs="Calibri"/>
          <w:color w:val="000000"/>
        </w:rPr>
        <w:t>patiënten</w:t>
      </w:r>
      <w:r w:rsidR="0030724A">
        <w:rPr>
          <w:rFonts w:cs="Calibri"/>
          <w:color w:val="000000"/>
        </w:rPr>
        <w:t xml:space="preserve">. </w:t>
      </w:r>
      <w:r>
        <w:rPr>
          <w:rFonts w:cs="Calibri"/>
          <w:color w:val="000000"/>
        </w:rPr>
        <w:t>Binnen de controles van de hart- en vaatziekten richten wij ons vooral op de leefstijl van de patiënt. Hierbij kan gedacht worden aan aandacht voor voeding, beweging, stress en roken. Als het risico met het verbeteren van de leefstijl niet voldoende afneemt behandelen we volgens protocol medicamenteus om het risico alsnog te doen verlagen. Hiermee hopen we invloed uit te oefenen op bijvoorbeeld de bloeddruk of de cholesterolwaarden.</w:t>
      </w:r>
    </w:p>
    <w:p w:rsidR="0014206C" w:rsidRDefault="0014206C" w:rsidP="004334C1">
      <w:pPr>
        <w:rPr>
          <w:rFonts w:cs="Calibri"/>
          <w:color w:val="000000"/>
        </w:rPr>
      </w:pPr>
    </w:p>
    <w:p w:rsidR="0014206C" w:rsidRDefault="0014206C" w:rsidP="004334C1">
      <w:pPr>
        <w:rPr>
          <w:rFonts w:cs="Calibri"/>
          <w:color w:val="000000"/>
        </w:rPr>
      </w:pPr>
    </w:p>
    <w:p w:rsidR="0014206C" w:rsidRDefault="0014206C" w:rsidP="004334C1">
      <w:pPr>
        <w:rPr>
          <w:rFonts w:cs="Calibri"/>
          <w:color w:val="000000"/>
        </w:rPr>
      </w:pPr>
    </w:p>
    <w:p w:rsidR="0014206C" w:rsidRDefault="0014206C" w:rsidP="004334C1">
      <w:pPr>
        <w:rPr>
          <w:rFonts w:cs="Calibri"/>
          <w:color w:val="000000"/>
        </w:rPr>
      </w:pPr>
    </w:p>
    <w:p w:rsidR="004334C1" w:rsidRDefault="004334C1" w:rsidP="004334C1">
      <w:pPr>
        <w:rPr>
          <w:rFonts w:cs="Calibri"/>
          <w:color w:val="000000"/>
        </w:rPr>
      </w:pPr>
      <w:r>
        <w:rPr>
          <w:rFonts w:cs="Calibri"/>
          <w:color w:val="000000"/>
        </w:rPr>
        <w:t>Hieronder een aantal cijfers over het uitvoeren van deze controles;</w:t>
      </w:r>
    </w:p>
    <w:tbl>
      <w:tblPr>
        <w:tblStyle w:val="Tabelraster"/>
        <w:tblW w:w="0" w:type="auto"/>
        <w:tblLook w:val="04A0" w:firstRow="1" w:lastRow="0" w:firstColumn="1" w:lastColumn="0" w:noHBand="0" w:noVBand="1"/>
      </w:tblPr>
      <w:tblGrid>
        <w:gridCol w:w="3020"/>
        <w:gridCol w:w="3021"/>
        <w:gridCol w:w="3021"/>
      </w:tblGrid>
      <w:tr w:rsidR="004334C1" w:rsidTr="004334C1">
        <w:tc>
          <w:tcPr>
            <w:tcW w:w="3020" w:type="dxa"/>
            <w:shd w:val="clear" w:color="auto" w:fill="C5E0B3" w:themeFill="accent6" w:themeFillTint="66"/>
          </w:tcPr>
          <w:p w:rsidR="004334C1" w:rsidRPr="006D62D8" w:rsidRDefault="004334C1" w:rsidP="007B4355">
            <w:pPr>
              <w:rPr>
                <w:rFonts w:cs="Calibri"/>
                <w:b/>
                <w:color w:val="000000"/>
              </w:rPr>
            </w:pPr>
            <w:r w:rsidRPr="006D62D8">
              <w:rPr>
                <w:rFonts w:cs="Calibri"/>
                <w:b/>
                <w:color w:val="000000"/>
              </w:rPr>
              <w:t xml:space="preserve">Indicatoren </w:t>
            </w:r>
          </w:p>
        </w:tc>
        <w:tc>
          <w:tcPr>
            <w:tcW w:w="3021" w:type="dxa"/>
            <w:shd w:val="clear" w:color="auto" w:fill="C5E0B3" w:themeFill="accent6" w:themeFillTint="66"/>
          </w:tcPr>
          <w:p w:rsidR="004334C1" w:rsidRPr="006D62D8" w:rsidRDefault="004334C1" w:rsidP="007B4355">
            <w:pPr>
              <w:rPr>
                <w:rFonts w:cs="Calibri"/>
                <w:b/>
                <w:color w:val="000000"/>
              </w:rPr>
            </w:pPr>
            <w:r w:rsidRPr="006D62D8">
              <w:rPr>
                <w:rFonts w:cs="Calibri"/>
                <w:b/>
                <w:color w:val="000000"/>
              </w:rPr>
              <w:t xml:space="preserve">Percentage secundaire preventie </w:t>
            </w:r>
          </w:p>
        </w:tc>
        <w:tc>
          <w:tcPr>
            <w:tcW w:w="3021" w:type="dxa"/>
            <w:shd w:val="clear" w:color="auto" w:fill="C5E0B3" w:themeFill="accent6" w:themeFillTint="66"/>
          </w:tcPr>
          <w:p w:rsidR="004334C1" w:rsidRPr="006D62D8" w:rsidRDefault="004334C1" w:rsidP="007B4355">
            <w:pPr>
              <w:rPr>
                <w:rFonts w:cs="Calibri"/>
                <w:b/>
                <w:color w:val="000000"/>
              </w:rPr>
            </w:pPr>
            <w:r w:rsidRPr="006D62D8">
              <w:rPr>
                <w:rFonts w:cs="Calibri"/>
                <w:b/>
                <w:color w:val="000000"/>
              </w:rPr>
              <w:t>Percentage primaire preventie</w:t>
            </w:r>
          </w:p>
        </w:tc>
      </w:tr>
      <w:tr w:rsidR="004334C1" w:rsidTr="007B4355">
        <w:tc>
          <w:tcPr>
            <w:tcW w:w="3020" w:type="dxa"/>
          </w:tcPr>
          <w:p w:rsidR="004334C1" w:rsidRPr="006C1E09" w:rsidRDefault="004334C1" w:rsidP="007B4355">
            <w:pPr>
              <w:rPr>
                <w:rFonts w:cs="Calibri"/>
                <w:color w:val="000000"/>
              </w:rPr>
            </w:pPr>
            <w:r w:rsidRPr="006C1E09">
              <w:rPr>
                <w:i/>
                <w:iCs/>
              </w:rPr>
              <w:t>Percentage patiënten waarbij het LDL is bepaald in de afgelopen 5 jaar</w:t>
            </w:r>
          </w:p>
        </w:tc>
        <w:tc>
          <w:tcPr>
            <w:tcW w:w="3021" w:type="dxa"/>
          </w:tcPr>
          <w:p w:rsidR="004334C1" w:rsidRPr="006C1E09" w:rsidRDefault="0030724A" w:rsidP="007B4355">
            <w:pPr>
              <w:rPr>
                <w:rFonts w:cs="Calibri"/>
                <w:color w:val="000000"/>
              </w:rPr>
            </w:pPr>
            <w:r>
              <w:rPr>
                <w:rFonts w:cs="Calibri"/>
                <w:color w:val="000000"/>
              </w:rPr>
              <w:t>75%</w:t>
            </w:r>
          </w:p>
        </w:tc>
        <w:tc>
          <w:tcPr>
            <w:tcW w:w="3021" w:type="dxa"/>
          </w:tcPr>
          <w:p w:rsidR="004334C1" w:rsidRPr="006C1E09" w:rsidRDefault="0030724A" w:rsidP="007B4355">
            <w:pPr>
              <w:rPr>
                <w:rFonts w:cs="Calibri"/>
                <w:color w:val="000000"/>
              </w:rPr>
            </w:pPr>
            <w:r>
              <w:rPr>
                <w:rFonts w:cs="Calibri"/>
                <w:color w:val="000000"/>
              </w:rPr>
              <w:t>78.77%</w:t>
            </w:r>
          </w:p>
        </w:tc>
      </w:tr>
      <w:tr w:rsidR="004334C1" w:rsidTr="007B4355">
        <w:tc>
          <w:tcPr>
            <w:tcW w:w="3020" w:type="dxa"/>
          </w:tcPr>
          <w:p w:rsidR="004334C1" w:rsidRPr="006C1E09" w:rsidRDefault="004334C1" w:rsidP="007B4355">
            <w:pPr>
              <w:rPr>
                <w:rFonts w:cs="Calibri"/>
                <w:color w:val="000000"/>
              </w:rPr>
            </w:pPr>
            <w:r w:rsidRPr="006C1E09">
              <w:rPr>
                <w:i/>
                <w:iCs/>
              </w:rPr>
              <w:t xml:space="preserve">Percentage patiënten waarbij de nierfunctie is bepaald in de afgelopen 5 jaar  </w:t>
            </w:r>
          </w:p>
        </w:tc>
        <w:tc>
          <w:tcPr>
            <w:tcW w:w="3021" w:type="dxa"/>
          </w:tcPr>
          <w:p w:rsidR="004334C1" w:rsidRPr="006C1E09" w:rsidRDefault="0030724A" w:rsidP="007B4355">
            <w:pPr>
              <w:rPr>
                <w:rFonts w:cs="Calibri"/>
                <w:color w:val="000000"/>
              </w:rPr>
            </w:pPr>
            <w:r>
              <w:rPr>
                <w:rFonts w:cs="Calibri"/>
                <w:color w:val="000000"/>
              </w:rPr>
              <w:t>99.7</w:t>
            </w:r>
          </w:p>
        </w:tc>
        <w:tc>
          <w:tcPr>
            <w:tcW w:w="3021" w:type="dxa"/>
          </w:tcPr>
          <w:p w:rsidR="004334C1" w:rsidRPr="006C1E09" w:rsidRDefault="004334C1" w:rsidP="0030724A">
            <w:pPr>
              <w:rPr>
                <w:rFonts w:cs="Calibri"/>
                <w:color w:val="000000"/>
              </w:rPr>
            </w:pPr>
            <w:r w:rsidRPr="006C1E09">
              <w:rPr>
                <w:rFonts w:cs="Calibri"/>
                <w:color w:val="000000"/>
              </w:rPr>
              <w:t>99,</w:t>
            </w:r>
            <w:r w:rsidR="0030724A">
              <w:rPr>
                <w:rFonts w:cs="Calibri"/>
                <w:color w:val="000000"/>
              </w:rPr>
              <w:t>03%</w:t>
            </w:r>
          </w:p>
        </w:tc>
      </w:tr>
      <w:tr w:rsidR="004334C1" w:rsidTr="007B4355">
        <w:tc>
          <w:tcPr>
            <w:tcW w:w="3020" w:type="dxa"/>
          </w:tcPr>
          <w:p w:rsidR="004334C1" w:rsidRPr="006C1E09" w:rsidRDefault="004334C1" w:rsidP="007B4355">
            <w:pPr>
              <w:rPr>
                <w:rFonts w:cs="Calibri"/>
                <w:color w:val="000000"/>
              </w:rPr>
            </w:pPr>
            <w:r w:rsidRPr="006C1E09">
              <w:rPr>
                <w:i/>
                <w:iCs/>
              </w:rPr>
              <w:t>Percentage patiënten waarbij</w:t>
            </w:r>
            <w:r w:rsidR="00AB5300">
              <w:rPr>
                <w:i/>
                <w:iCs/>
              </w:rPr>
              <w:t xml:space="preserve"> de bloeddruk is gemeten in 2022</w:t>
            </w:r>
          </w:p>
        </w:tc>
        <w:tc>
          <w:tcPr>
            <w:tcW w:w="3021" w:type="dxa"/>
          </w:tcPr>
          <w:p w:rsidR="004334C1" w:rsidRPr="006C1E09" w:rsidRDefault="0030724A" w:rsidP="007B4355">
            <w:pPr>
              <w:rPr>
                <w:rFonts w:cs="Calibri"/>
                <w:color w:val="000000"/>
              </w:rPr>
            </w:pPr>
            <w:r>
              <w:rPr>
                <w:rFonts w:cs="Calibri"/>
                <w:color w:val="000000"/>
              </w:rPr>
              <w:t>89,88</w:t>
            </w:r>
          </w:p>
        </w:tc>
        <w:tc>
          <w:tcPr>
            <w:tcW w:w="3021" w:type="dxa"/>
          </w:tcPr>
          <w:p w:rsidR="004334C1" w:rsidRPr="006C1E09" w:rsidRDefault="0030724A" w:rsidP="007B4355">
            <w:pPr>
              <w:rPr>
                <w:rFonts w:cs="Calibri"/>
                <w:color w:val="000000"/>
              </w:rPr>
            </w:pPr>
            <w:r>
              <w:rPr>
                <w:rFonts w:cs="Calibri"/>
                <w:color w:val="000000"/>
              </w:rPr>
              <w:t>89,47</w:t>
            </w:r>
            <w:r w:rsidR="004334C1" w:rsidRPr="006C1E09">
              <w:rPr>
                <w:rFonts w:cs="Calibri"/>
                <w:color w:val="000000"/>
              </w:rPr>
              <w:t>%</w:t>
            </w:r>
          </w:p>
        </w:tc>
      </w:tr>
    </w:tbl>
    <w:p w:rsidR="004334C1" w:rsidRDefault="004334C1" w:rsidP="004334C1">
      <w:pPr>
        <w:rPr>
          <w:rFonts w:cs="Calibri"/>
          <w:color w:val="000000"/>
        </w:rPr>
      </w:pPr>
    </w:p>
    <w:p w:rsidR="004334C1" w:rsidRDefault="004334C1" w:rsidP="004334C1">
      <w:r>
        <w:t xml:space="preserve">Bovenstaande cijfers geven aan dat we hoog scoren op de indicatoren die gesteld zijn vanuit de zorgverzekeraars. Dit is natuurlijk belangrijk maar binnen de praktijk proberen we ook juist te kijken naar de behoeften en wensen van onze patiënten (persoonsgerichte zorg).  Hierbij kunnen we aansluiten bij de standaard die dit jaar uit kwam welke juist het investeren in leefstijl en persoonsgerichte zorg stimuleert. We zetten steeds meer in op thuismetingen, dit betekent dat we aan mensen vragen thuis de bloeddruk volgens protocol te meten. Dit kan met een ‘eigen’ betrouwbare meter of met een meter die wij vanuit de praktijk uitlenen. </w:t>
      </w:r>
    </w:p>
    <w:p w:rsidR="00462CC7" w:rsidRPr="0014206C" w:rsidRDefault="00462CC7" w:rsidP="009D5D9A">
      <w:pPr>
        <w:pStyle w:val="Kop1"/>
        <w:rPr>
          <w:b/>
          <w:color w:val="70AD47" w:themeColor="accent6"/>
          <w:sz w:val="28"/>
          <w:szCs w:val="28"/>
        </w:rPr>
      </w:pPr>
      <w:r w:rsidRPr="0014206C">
        <w:rPr>
          <w:b/>
          <w:color w:val="70AD47" w:themeColor="accent6"/>
          <w:sz w:val="28"/>
          <w:szCs w:val="28"/>
        </w:rPr>
        <w:t xml:space="preserve">COPD </w:t>
      </w:r>
    </w:p>
    <w:p w:rsidR="004334C1" w:rsidRPr="009D3876" w:rsidRDefault="007C7B4D" w:rsidP="004334C1">
      <w:pPr>
        <w:pStyle w:val="Default"/>
        <w:rPr>
          <w:rFonts w:asciiTheme="minorHAnsi" w:hAnsiTheme="minorHAnsi"/>
          <w:sz w:val="22"/>
          <w:szCs w:val="22"/>
        </w:rPr>
      </w:pPr>
      <w:r>
        <w:rPr>
          <w:rFonts w:asciiTheme="minorHAnsi" w:hAnsiTheme="minorHAnsi"/>
          <w:sz w:val="22"/>
          <w:szCs w:val="22"/>
        </w:rPr>
        <w:t>In 2022 hadden we 120</w:t>
      </w:r>
      <w:r w:rsidR="004334C1" w:rsidRPr="009D3876">
        <w:rPr>
          <w:rFonts w:asciiTheme="minorHAnsi" w:hAnsiTheme="minorHAnsi"/>
          <w:sz w:val="22"/>
          <w:szCs w:val="22"/>
        </w:rPr>
        <w:t xml:space="preserve"> patiënten met de diagnose COPD in beeld </w:t>
      </w:r>
      <w:r>
        <w:rPr>
          <w:rFonts w:asciiTheme="minorHAnsi" w:hAnsiTheme="minorHAnsi"/>
          <w:sz w:val="22"/>
          <w:szCs w:val="22"/>
        </w:rPr>
        <w:t xml:space="preserve">binnen Huisartsen de Burgt. 77 </w:t>
      </w:r>
      <w:r w:rsidR="004334C1">
        <w:rPr>
          <w:rFonts w:asciiTheme="minorHAnsi" w:hAnsiTheme="minorHAnsi"/>
          <w:sz w:val="22"/>
          <w:szCs w:val="22"/>
        </w:rPr>
        <w:t>patiënten worden actief gevolgd binnen de huisartsenpraktijk. De overige patiënten zijn bekend en staan onder behandeling van de longarts. E</w:t>
      </w:r>
      <w:r w:rsidR="004334C1" w:rsidRPr="009D3876">
        <w:rPr>
          <w:rFonts w:asciiTheme="minorHAnsi" w:hAnsiTheme="minorHAnsi"/>
          <w:sz w:val="22"/>
          <w:szCs w:val="22"/>
        </w:rPr>
        <w:t>r</w:t>
      </w:r>
      <w:r w:rsidR="004334C1">
        <w:rPr>
          <w:rFonts w:asciiTheme="minorHAnsi" w:hAnsiTheme="minorHAnsi"/>
          <w:sz w:val="22"/>
          <w:szCs w:val="22"/>
        </w:rPr>
        <w:t xml:space="preserve"> zijn</w:t>
      </w:r>
      <w:r w:rsidR="004334C1" w:rsidRPr="009D3876">
        <w:rPr>
          <w:rFonts w:asciiTheme="minorHAnsi" w:hAnsiTheme="minorHAnsi"/>
          <w:sz w:val="22"/>
          <w:szCs w:val="22"/>
        </w:rPr>
        <w:t xml:space="preserve"> diverse aanvullende indicatoren welke inzichtelijk maken in hoeverre de patiënten met COPD in beeld zijn.  </w:t>
      </w:r>
    </w:p>
    <w:p w:rsidR="004334C1" w:rsidRPr="009D3876" w:rsidRDefault="004334C1" w:rsidP="004334C1">
      <w:pPr>
        <w:pStyle w:val="Default"/>
        <w:rPr>
          <w:rFonts w:asciiTheme="minorHAnsi" w:hAnsiTheme="minorHAnsi"/>
          <w:sz w:val="22"/>
          <w:szCs w:val="22"/>
        </w:rPr>
      </w:pPr>
    </w:p>
    <w:p w:rsidR="004334C1" w:rsidRPr="009D3876" w:rsidRDefault="004334C1" w:rsidP="004334C1">
      <w:pPr>
        <w:pStyle w:val="Default"/>
        <w:rPr>
          <w:rFonts w:asciiTheme="minorHAnsi" w:hAnsiTheme="minorHAnsi"/>
          <w:sz w:val="22"/>
          <w:szCs w:val="22"/>
        </w:rPr>
      </w:pPr>
      <w:r w:rsidRPr="009D3876">
        <w:rPr>
          <w:rFonts w:asciiTheme="minorHAnsi" w:hAnsiTheme="minorHAnsi"/>
          <w:sz w:val="22"/>
          <w:szCs w:val="22"/>
        </w:rPr>
        <w:t>Hieronder een aantal cijfers over de uitvoer van deze controles;</w:t>
      </w:r>
      <w:r w:rsidR="003E636C">
        <w:rPr>
          <w:rFonts w:asciiTheme="minorHAnsi" w:hAnsiTheme="minorHAnsi"/>
          <w:sz w:val="22"/>
          <w:szCs w:val="22"/>
        </w:rPr>
        <w:t xml:space="preserve"> </w:t>
      </w:r>
    </w:p>
    <w:p w:rsidR="004334C1" w:rsidRPr="009D3876" w:rsidRDefault="004334C1" w:rsidP="004334C1">
      <w:pPr>
        <w:pStyle w:val="Default"/>
        <w:rPr>
          <w:rFonts w:asciiTheme="minorHAnsi" w:hAnsiTheme="minorHAnsi"/>
          <w:sz w:val="22"/>
          <w:szCs w:val="22"/>
        </w:rPr>
      </w:pP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1"/>
        <w:gridCol w:w="5304"/>
      </w:tblGrid>
      <w:tr w:rsidR="004334C1" w:rsidRPr="009D3876" w:rsidTr="006C1E09">
        <w:trPr>
          <w:trHeight w:val="243"/>
        </w:trPr>
        <w:tc>
          <w:tcPr>
            <w:tcW w:w="3871" w:type="dxa"/>
            <w:shd w:val="clear" w:color="auto" w:fill="C5E0B3" w:themeFill="accent6" w:themeFillTint="66"/>
          </w:tcPr>
          <w:p w:rsidR="004334C1" w:rsidRPr="004334C1" w:rsidRDefault="004334C1" w:rsidP="007B4355">
            <w:pPr>
              <w:rPr>
                <w:b/>
              </w:rPr>
            </w:pPr>
            <w:r w:rsidRPr="004334C1">
              <w:rPr>
                <w:b/>
              </w:rPr>
              <w:t>Indicatoren</w:t>
            </w:r>
          </w:p>
        </w:tc>
        <w:tc>
          <w:tcPr>
            <w:tcW w:w="5304" w:type="dxa"/>
            <w:shd w:val="clear" w:color="auto" w:fill="C5E0B3" w:themeFill="accent6" w:themeFillTint="66"/>
          </w:tcPr>
          <w:p w:rsidR="004334C1" w:rsidRPr="004334C1" w:rsidRDefault="004334C1" w:rsidP="007B4355">
            <w:pPr>
              <w:rPr>
                <w:b/>
              </w:rPr>
            </w:pPr>
            <w:r w:rsidRPr="004334C1">
              <w:rPr>
                <w:b/>
              </w:rPr>
              <w:t>Percentage</w:t>
            </w:r>
          </w:p>
        </w:tc>
      </w:tr>
      <w:tr w:rsidR="004334C1" w:rsidRPr="009D3876" w:rsidTr="006C1E09">
        <w:trPr>
          <w:trHeight w:val="243"/>
        </w:trPr>
        <w:tc>
          <w:tcPr>
            <w:tcW w:w="3871" w:type="dxa"/>
            <w:shd w:val="clear" w:color="auto" w:fill="FFFFFF" w:themeFill="background1"/>
          </w:tcPr>
          <w:p w:rsidR="004334C1" w:rsidRPr="009D3876" w:rsidRDefault="004334C1" w:rsidP="003E636C">
            <w:pPr>
              <w:rPr>
                <w:i/>
                <w:iCs/>
              </w:rPr>
            </w:pPr>
            <w:r w:rsidRPr="009D3876">
              <w:rPr>
                <w:i/>
                <w:iCs/>
              </w:rPr>
              <w:t xml:space="preserve">Percentage patiënten </w:t>
            </w:r>
            <w:r w:rsidR="003E636C">
              <w:rPr>
                <w:i/>
                <w:iCs/>
              </w:rPr>
              <w:t xml:space="preserve">waarbij de jaarcontrole is uitgevoerd </w:t>
            </w:r>
          </w:p>
        </w:tc>
        <w:tc>
          <w:tcPr>
            <w:tcW w:w="5304" w:type="dxa"/>
          </w:tcPr>
          <w:p w:rsidR="004334C1" w:rsidRPr="004334C1" w:rsidRDefault="003E636C" w:rsidP="007B4355">
            <w:pPr>
              <w:rPr>
                <w:bCs/>
              </w:rPr>
            </w:pPr>
            <w:r>
              <w:rPr>
                <w:bCs/>
              </w:rPr>
              <w:t>91.30</w:t>
            </w:r>
            <w:r w:rsidR="004334C1" w:rsidRPr="004334C1">
              <w:rPr>
                <w:bCs/>
              </w:rPr>
              <w:t xml:space="preserve"> %van de populatie in ketenzorg</w:t>
            </w:r>
          </w:p>
        </w:tc>
      </w:tr>
      <w:tr w:rsidR="004334C1" w:rsidRPr="009D3876" w:rsidTr="006C1E09">
        <w:trPr>
          <w:trHeight w:val="249"/>
        </w:trPr>
        <w:tc>
          <w:tcPr>
            <w:tcW w:w="3871" w:type="dxa"/>
            <w:shd w:val="clear" w:color="auto" w:fill="FFFFFF" w:themeFill="background1"/>
          </w:tcPr>
          <w:p w:rsidR="004334C1" w:rsidRPr="009D3876" w:rsidRDefault="004334C1" w:rsidP="007B4355">
            <w:r w:rsidRPr="009D3876">
              <w:rPr>
                <w:i/>
                <w:iCs/>
              </w:rPr>
              <w:t>Percentage patiënten waarbij de MRC of CCQ vragenlijst af is genomen</w:t>
            </w:r>
          </w:p>
        </w:tc>
        <w:tc>
          <w:tcPr>
            <w:tcW w:w="5304" w:type="dxa"/>
          </w:tcPr>
          <w:p w:rsidR="004334C1" w:rsidRPr="004334C1" w:rsidRDefault="003E636C" w:rsidP="007B4355">
            <w:r>
              <w:rPr>
                <w:bCs/>
              </w:rPr>
              <w:t>91.30</w:t>
            </w:r>
            <w:r w:rsidR="004334C1" w:rsidRPr="004334C1">
              <w:rPr>
                <w:bCs/>
              </w:rPr>
              <w:t xml:space="preserve"> % van de populatie in ketenzorg </w:t>
            </w:r>
          </w:p>
        </w:tc>
      </w:tr>
      <w:tr w:rsidR="004334C1" w:rsidRPr="009D3876" w:rsidTr="006C1E09">
        <w:trPr>
          <w:trHeight w:val="244"/>
        </w:trPr>
        <w:tc>
          <w:tcPr>
            <w:tcW w:w="3871" w:type="dxa"/>
            <w:shd w:val="clear" w:color="auto" w:fill="FFFFFF" w:themeFill="background1"/>
          </w:tcPr>
          <w:p w:rsidR="004334C1" w:rsidRPr="009D3876" w:rsidRDefault="004334C1" w:rsidP="007B4355">
            <w:r w:rsidRPr="009D3876">
              <w:rPr>
                <w:i/>
                <w:iCs/>
              </w:rPr>
              <w:t xml:space="preserve">Percentage patiënten waarbij de inhalatietechniek is gecontroleerd </w:t>
            </w:r>
          </w:p>
        </w:tc>
        <w:tc>
          <w:tcPr>
            <w:tcW w:w="5304" w:type="dxa"/>
          </w:tcPr>
          <w:p w:rsidR="004334C1" w:rsidRPr="004334C1" w:rsidRDefault="004334C1" w:rsidP="003E636C">
            <w:r w:rsidRPr="004334C1">
              <w:rPr>
                <w:bCs/>
              </w:rPr>
              <w:t>87,</w:t>
            </w:r>
            <w:r w:rsidR="003E636C">
              <w:rPr>
                <w:bCs/>
              </w:rPr>
              <w:t>30</w:t>
            </w:r>
            <w:r w:rsidRPr="004334C1">
              <w:rPr>
                <w:bCs/>
              </w:rPr>
              <w:t xml:space="preserve">% van de populatie in ketenzorg. </w:t>
            </w:r>
          </w:p>
        </w:tc>
      </w:tr>
    </w:tbl>
    <w:p w:rsidR="004334C1" w:rsidRPr="009D3876" w:rsidRDefault="004334C1" w:rsidP="004334C1">
      <w:pPr>
        <w:rPr>
          <w:rFonts w:cs="Calibri"/>
          <w:color w:val="000000"/>
        </w:rPr>
      </w:pPr>
    </w:p>
    <w:p w:rsidR="004334C1" w:rsidRDefault="004334C1" w:rsidP="004334C1">
      <w:pPr>
        <w:rPr>
          <w:rFonts w:cs="Calibri"/>
          <w:color w:val="000000"/>
        </w:rPr>
      </w:pPr>
      <w:r>
        <w:rPr>
          <w:rFonts w:cs="Calibri"/>
          <w:color w:val="000000"/>
        </w:rPr>
        <w:t xml:space="preserve">De percentages in bovenstaande tabel zijn zo goed als gelijk aan de cijfers van vorig jaar. Ook zijn de targets welke vanuit de zorggroep zijn gesteld dit jaar wederom behaald. Concluderend kunnen we daarom zeggen dat we binnen de COPD ketenzorg de patiënten goed in beeld hebben. </w:t>
      </w:r>
    </w:p>
    <w:p w:rsidR="0014206C" w:rsidRDefault="0014206C" w:rsidP="004334C1">
      <w:pPr>
        <w:rPr>
          <w:rFonts w:cs="Calibri"/>
          <w:color w:val="000000"/>
        </w:rPr>
      </w:pPr>
    </w:p>
    <w:p w:rsidR="004334C1" w:rsidRPr="0014206C" w:rsidRDefault="006D62D8" w:rsidP="009D5D9A">
      <w:pPr>
        <w:pStyle w:val="Kop1"/>
        <w:rPr>
          <w:b/>
          <w:color w:val="70AD47" w:themeColor="accent6"/>
          <w:sz w:val="28"/>
          <w:szCs w:val="28"/>
        </w:rPr>
      </w:pPr>
      <w:r w:rsidRPr="0014206C">
        <w:rPr>
          <w:b/>
          <w:color w:val="70AD47" w:themeColor="accent6"/>
          <w:sz w:val="28"/>
          <w:szCs w:val="28"/>
        </w:rPr>
        <w:lastRenderedPageBreak/>
        <w:t>ASTMA PROJECT</w:t>
      </w:r>
    </w:p>
    <w:p w:rsidR="004334C1" w:rsidRDefault="004334C1" w:rsidP="004334C1">
      <w:pPr>
        <w:pStyle w:val="Normaalweb"/>
        <w:spacing w:before="0" w:beforeAutospacing="0" w:after="240" w:afterAutospacing="0"/>
        <w:rPr>
          <w:rFonts w:ascii="Calibri" w:hAnsi="Calibri"/>
          <w:sz w:val="22"/>
          <w:szCs w:val="22"/>
        </w:rPr>
      </w:pPr>
      <w:r>
        <w:rPr>
          <w:rFonts w:ascii="Calibri" w:hAnsi="Calibri"/>
          <w:sz w:val="22"/>
          <w:szCs w:val="22"/>
        </w:rPr>
        <w:t xml:space="preserve">Vanaf 2019 is er een grote slag gemaakt met het actief oproepen/bellen van deze patiëntengroep. </w:t>
      </w:r>
      <w:r>
        <w:rPr>
          <w:rFonts w:ascii="Calibri" w:hAnsi="Calibri"/>
          <w:sz w:val="22"/>
          <w:szCs w:val="22"/>
        </w:rPr>
        <w:br/>
        <w:t xml:space="preserve">Patiënten die al jaren niet onder controle waren werden ingepland voor een consult inclusief spirometrie (longfunctieonderzoek). Zo nodig werden episodes op inactief gezet of verwijderd als de episode ten onrechte was toegekend. </w:t>
      </w:r>
    </w:p>
    <w:tbl>
      <w:tblPr>
        <w:tblStyle w:val="Tabelraster"/>
        <w:tblW w:w="9067" w:type="dxa"/>
        <w:tblLook w:val="04A0" w:firstRow="1" w:lastRow="0" w:firstColumn="1" w:lastColumn="0" w:noHBand="0" w:noVBand="1"/>
      </w:tblPr>
      <w:tblGrid>
        <w:gridCol w:w="3020"/>
        <w:gridCol w:w="6047"/>
      </w:tblGrid>
      <w:tr w:rsidR="004334C1" w:rsidTr="006C1E09">
        <w:tc>
          <w:tcPr>
            <w:tcW w:w="3020" w:type="dxa"/>
            <w:shd w:val="clear" w:color="auto" w:fill="C5E0B3" w:themeFill="accent6" w:themeFillTint="66"/>
          </w:tcPr>
          <w:p w:rsidR="004334C1" w:rsidRPr="006D62D8" w:rsidRDefault="004334C1" w:rsidP="007B4355">
            <w:pPr>
              <w:pStyle w:val="Normaalweb"/>
              <w:spacing w:before="0" w:beforeAutospacing="0" w:after="240" w:afterAutospacing="0"/>
              <w:rPr>
                <w:rFonts w:ascii="Calibri" w:hAnsi="Calibri"/>
                <w:b/>
                <w:sz w:val="22"/>
                <w:szCs w:val="22"/>
              </w:rPr>
            </w:pPr>
            <w:r w:rsidRPr="006D62D8">
              <w:rPr>
                <w:rFonts w:ascii="Calibri" w:hAnsi="Calibri"/>
                <w:b/>
                <w:sz w:val="22"/>
                <w:szCs w:val="22"/>
              </w:rPr>
              <w:t xml:space="preserve">Jaartal </w:t>
            </w:r>
          </w:p>
        </w:tc>
        <w:tc>
          <w:tcPr>
            <w:tcW w:w="6047" w:type="dxa"/>
            <w:shd w:val="clear" w:color="auto" w:fill="C5E0B3" w:themeFill="accent6" w:themeFillTint="66"/>
          </w:tcPr>
          <w:p w:rsidR="004334C1" w:rsidRPr="006D62D8" w:rsidRDefault="004334C1" w:rsidP="007B4355">
            <w:pPr>
              <w:pStyle w:val="Normaalweb"/>
              <w:spacing w:before="0" w:beforeAutospacing="0" w:after="240" w:afterAutospacing="0"/>
              <w:rPr>
                <w:rFonts w:ascii="Calibri" w:hAnsi="Calibri"/>
                <w:b/>
                <w:sz w:val="22"/>
                <w:szCs w:val="22"/>
              </w:rPr>
            </w:pPr>
            <w:r w:rsidRPr="006D62D8">
              <w:rPr>
                <w:rFonts w:ascii="Calibri" w:hAnsi="Calibri"/>
                <w:b/>
                <w:sz w:val="22"/>
                <w:szCs w:val="22"/>
              </w:rPr>
              <w:t xml:space="preserve">Aantal astma patiënten </w:t>
            </w:r>
            <w:r w:rsidR="009A4995">
              <w:rPr>
                <w:rFonts w:ascii="Calibri" w:hAnsi="Calibri"/>
                <w:b/>
                <w:sz w:val="22"/>
                <w:szCs w:val="22"/>
              </w:rPr>
              <w:t>inclusief kinderen</w:t>
            </w:r>
          </w:p>
        </w:tc>
      </w:tr>
      <w:tr w:rsidR="004334C1" w:rsidTr="006D62D8">
        <w:trPr>
          <w:trHeight w:val="288"/>
        </w:trPr>
        <w:tc>
          <w:tcPr>
            <w:tcW w:w="3020" w:type="dxa"/>
          </w:tcPr>
          <w:p w:rsidR="004334C1" w:rsidRPr="006D62D8" w:rsidRDefault="004334C1" w:rsidP="007B4355">
            <w:pPr>
              <w:pStyle w:val="Normaalweb"/>
              <w:spacing w:before="0" w:beforeAutospacing="0" w:after="240" w:afterAutospacing="0"/>
              <w:rPr>
                <w:rFonts w:ascii="Calibri" w:hAnsi="Calibri"/>
                <w:sz w:val="22"/>
                <w:szCs w:val="22"/>
              </w:rPr>
            </w:pPr>
            <w:r w:rsidRPr="006D62D8">
              <w:rPr>
                <w:rFonts w:ascii="Calibri" w:hAnsi="Calibri"/>
                <w:sz w:val="22"/>
                <w:szCs w:val="22"/>
              </w:rPr>
              <w:t>2018</w:t>
            </w:r>
          </w:p>
        </w:tc>
        <w:tc>
          <w:tcPr>
            <w:tcW w:w="6047" w:type="dxa"/>
          </w:tcPr>
          <w:p w:rsidR="004334C1" w:rsidRPr="006D62D8" w:rsidRDefault="004334C1" w:rsidP="007B4355">
            <w:pPr>
              <w:pStyle w:val="Normaalweb"/>
              <w:spacing w:before="0" w:beforeAutospacing="0" w:after="240" w:afterAutospacing="0"/>
              <w:rPr>
                <w:rFonts w:ascii="Calibri" w:hAnsi="Calibri"/>
                <w:sz w:val="22"/>
                <w:szCs w:val="22"/>
              </w:rPr>
            </w:pPr>
            <w:r w:rsidRPr="006D62D8">
              <w:rPr>
                <w:rFonts w:ascii="Calibri" w:hAnsi="Calibri"/>
                <w:sz w:val="22"/>
                <w:szCs w:val="22"/>
              </w:rPr>
              <w:t>584</w:t>
            </w:r>
          </w:p>
        </w:tc>
      </w:tr>
      <w:tr w:rsidR="004334C1" w:rsidTr="006C1E09">
        <w:tc>
          <w:tcPr>
            <w:tcW w:w="3020" w:type="dxa"/>
          </w:tcPr>
          <w:p w:rsidR="004334C1" w:rsidRPr="006D62D8" w:rsidRDefault="004334C1" w:rsidP="007B4355">
            <w:pPr>
              <w:pStyle w:val="Normaalweb"/>
              <w:spacing w:before="0" w:beforeAutospacing="0" w:after="240" w:afterAutospacing="0"/>
              <w:rPr>
                <w:rFonts w:ascii="Calibri" w:hAnsi="Calibri"/>
                <w:sz w:val="22"/>
                <w:szCs w:val="22"/>
              </w:rPr>
            </w:pPr>
            <w:r w:rsidRPr="006D62D8">
              <w:rPr>
                <w:rFonts w:ascii="Calibri" w:hAnsi="Calibri"/>
                <w:sz w:val="22"/>
                <w:szCs w:val="22"/>
              </w:rPr>
              <w:t>2019</w:t>
            </w:r>
          </w:p>
        </w:tc>
        <w:tc>
          <w:tcPr>
            <w:tcW w:w="6047" w:type="dxa"/>
          </w:tcPr>
          <w:p w:rsidR="004334C1" w:rsidRPr="006D62D8" w:rsidRDefault="004334C1" w:rsidP="007B4355">
            <w:pPr>
              <w:pStyle w:val="Normaalweb"/>
              <w:spacing w:before="0" w:beforeAutospacing="0" w:after="240" w:afterAutospacing="0"/>
              <w:rPr>
                <w:rFonts w:ascii="Calibri" w:hAnsi="Calibri"/>
                <w:sz w:val="22"/>
                <w:szCs w:val="22"/>
              </w:rPr>
            </w:pPr>
            <w:r w:rsidRPr="006D62D8">
              <w:rPr>
                <w:rFonts w:ascii="Calibri" w:hAnsi="Calibri"/>
                <w:sz w:val="22"/>
                <w:szCs w:val="22"/>
              </w:rPr>
              <w:t>531</w:t>
            </w:r>
          </w:p>
        </w:tc>
      </w:tr>
      <w:tr w:rsidR="004334C1" w:rsidTr="006C1E09">
        <w:tc>
          <w:tcPr>
            <w:tcW w:w="3020" w:type="dxa"/>
          </w:tcPr>
          <w:p w:rsidR="004334C1" w:rsidRPr="006D62D8" w:rsidRDefault="004334C1" w:rsidP="007B4355">
            <w:pPr>
              <w:pStyle w:val="Normaalweb"/>
              <w:spacing w:before="0" w:beforeAutospacing="0" w:after="240" w:afterAutospacing="0"/>
              <w:rPr>
                <w:rFonts w:ascii="Calibri" w:hAnsi="Calibri"/>
                <w:sz w:val="22"/>
                <w:szCs w:val="22"/>
              </w:rPr>
            </w:pPr>
            <w:r w:rsidRPr="006D62D8">
              <w:rPr>
                <w:rFonts w:ascii="Calibri" w:hAnsi="Calibri"/>
                <w:sz w:val="22"/>
                <w:szCs w:val="22"/>
              </w:rPr>
              <w:t>2020</w:t>
            </w:r>
          </w:p>
        </w:tc>
        <w:tc>
          <w:tcPr>
            <w:tcW w:w="6047" w:type="dxa"/>
          </w:tcPr>
          <w:p w:rsidR="004334C1" w:rsidRPr="006D62D8" w:rsidRDefault="004334C1" w:rsidP="007B4355">
            <w:pPr>
              <w:pStyle w:val="Normaalweb"/>
              <w:spacing w:before="0" w:beforeAutospacing="0" w:after="240" w:afterAutospacing="0"/>
              <w:rPr>
                <w:rFonts w:ascii="Calibri" w:hAnsi="Calibri"/>
                <w:sz w:val="22"/>
                <w:szCs w:val="22"/>
              </w:rPr>
            </w:pPr>
            <w:r w:rsidRPr="006D62D8">
              <w:rPr>
                <w:rFonts w:ascii="Calibri" w:hAnsi="Calibri"/>
                <w:sz w:val="22"/>
                <w:szCs w:val="22"/>
              </w:rPr>
              <w:t>507</w:t>
            </w:r>
          </w:p>
        </w:tc>
      </w:tr>
      <w:tr w:rsidR="004334C1" w:rsidTr="006C1E09">
        <w:tc>
          <w:tcPr>
            <w:tcW w:w="3020" w:type="dxa"/>
          </w:tcPr>
          <w:p w:rsidR="004334C1" w:rsidRPr="006D62D8" w:rsidRDefault="004334C1" w:rsidP="007B4355">
            <w:pPr>
              <w:pStyle w:val="Normaalweb"/>
              <w:spacing w:before="0" w:beforeAutospacing="0" w:after="240" w:afterAutospacing="0"/>
              <w:rPr>
                <w:rFonts w:ascii="Calibri" w:hAnsi="Calibri"/>
                <w:sz w:val="22"/>
                <w:szCs w:val="22"/>
              </w:rPr>
            </w:pPr>
            <w:r w:rsidRPr="006D62D8">
              <w:rPr>
                <w:rFonts w:ascii="Calibri" w:hAnsi="Calibri"/>
                <w:sz w:val="22"/>
                <w:szCs w:val="22"/>
              </w:rPr>
              <w:t>2021</w:t>
            </w:r>
          </w:p>
        </w:tc>
        <w:tc>
          <w:tcPr>
            <w:tcW w:w="6047" w:type="dxa"/>
          </w:tcPr>
          <w:p w:rsidR="004334C1" w:rsidRPr="006D62D8" w:rsidRDefault="004334C1" w:rsidP="007B4355">
            <w:pPr>
              <w:pStyle w:val="Normaalweb"/>
              <w:spacing w:before="0" w:beforeAutospacing="0" w:after="240" w:afterAutospacing="0"/>
              <w:rPr>
                <w:rFonts w:ascii="Calibri" w:hAnsi="Calibri"/>
                <w:sz w:val="22"/>
                <w:szCs w:val="22"/>
              </w:rPr>
            </w:pPr>
            <w:r w:rsidRPr="006D62D8">
              <w:rPr>
                <w:rFonts w:ascii="Calibri" w:hAnsi="Calibri"/>
                <w:sz w:val="22"/>
                <w:szCs w:val="22"/>
              </w:rPr>
              <w:t>439</w:t>
            </w:r>
          </w:p>
        </w:tc>
      </w:tr>
      <w:tr w:rsidR="009A4995" w:rsidTr="006C1E09">
        <w:tc>
          <w:tcPr>
            <w:tcW w:w="3020" w:type="dxa"/>
          </w:tcPr>
          <w:p w:rsidR="009A4995" w:rsidRPr="006D62D8" w:rsidRDefault="009A4995" w:rsidP="007B4355">
            <w:pPr>
              <w:pStyle w:val="Normaalweb"/>
              <w:spacing w:before="0" w:beforeAutospacing="0" w:after="240" w:afterAutospacing="0"/>
              <w:rPr>
                <w:rFonts w:ascii="Calibri" w:hAnsi="Calibri"/>
                <w:sz w:val="22"/>
                <w:szCs w:val="22"/>
              </w:rPr>
            </w:pPr>
            <w:r>
              <w:rPr>
                <w:rFonts w:ascii="Calibri" w:hAnsi="Calibri"/>
                <w:sz w:val="22"/>
                <w:szCs w:val="22"/>
              </w:rPr>
              <w:t>2022</w:t>
            </w:r>
          </w:p>
        </w:tc>
        <w:tc>
          <w:tcPr>
            <w:tcW w:w="6047" w:type="dxa"/>
          </w:tcPr>
          <w:p w:rsidR="009A4995" w:rsidRPr="006D62D8" w:rsidRDefault="009A4995" w:rsidP="007B4355">
            <w:pPr>
              <w:pStyle w:val="Normaalweb"/>
              <w:spacing w:before="0" w:beforeAutospacing="0" w:after="240" w:afterAutospacing="0"/>
              <w:rPr>
                <w:rFonts w:ascii="Calibri" w:hAnsi="Calibri"/>
                <w:sz w:val="22"/>
                <w:szCs w:val="22"/>
              </w:rPr>
            </w:pPr>
            <w:r>
              <w:rPr>
                <w:rFonts w:ascii="Calibri" w:hAnsi="Calibri"/>
                <w:sz w:val="22"/>
                <w:szCs w:val="22"/>
              </w:rPr>
              <w:t>448</w:t>
            </w:r>
          </w:p>
        </w:tc>
      </w:tr>
    </w:tbl>
    <w:p w:rsidR="004334C1" w:rsidRDefault="004334C1" w:rsidP="00E533BD">
      <w:pPr>
        <w:pStyle w:val="Normaalweb"/>
        <w:spacing w:before="0" w:beforeAutospacing="0" w:after="0" w:afterAutospacing="0"/>
        <w:rPr>
          <w:rFonts w:ascii="Calibri" w:hAnsi="Calibri"/>
          <w:sz w:val="22"/>
          <w:szCs w:val="22"/>
        </w:rPr>
      </w:pPr>
      <w:r>
        <w:rPr>
          <w:rFonts w:ascii="Calibri" w:hAnsi="Calibri"/>
          <w:sz w:val="22"/>
          <w:szCs w:val="22"/>
        </w:rPr>
        <w:br/>
      </w:r>
      <w:r w:rsidR="009A4995">
        <w:rPr>
          <w:rFonts w:ascii="Calibri" w:hAnsi="Calibri"/>
          <w:sz w:val="22"/>
          <w:szCs w:val="22"/>
        </w:rPr>
        <w:t>In 2022 is heeft vooral de diagnostiek prioriteit gehad, er was minder spreekuurtijd t</w:t>
      </w:r>
      <w:r w:rsidR="007848DA">
        <w:rPr>
          <w:rFonts w:ascii="Calibri" w:hAnsi="Calibri"/>
          <w:sz w:val="22"/>
          <w:szCs w:val="22"/>
        </w:rPr>
        <w:t xml:space="preserve">en </w:t>
      </w:r>
      <w:r w:rsidR="009A4995">
        <w:rPr>
          <w:rFonts w:ascii="Calibri" w:hAnsi="Calibri"/>
          <w:sz w:val="22"/>
          <w:szCs w:val="22"/>
        </w:rPr>
        <w:t>g</w:t>
      </w:r>
      <w:r w:rsidR="007848DA">
        <w:rPr>
          <w:rFonts w:ascii="Calibri" w:hAnsi="Calibri"/>
          <w:sz w:val="22"/>
          <w:szCs w:val="22"/>
        </w:rPr>
        <w:t xml:space="preserve">evolge </w:t>
      </w:r>
      <w:r w:rsidR="009A4995">
        <w:rPr>
          <w:rFonts w:ascii="Calibri" w:hAnsi="Calibri"/>
          <w:sz w:val="22"/>
          <w:szCs w:val="22"/>
        </w:rPr>
        <w:t>v</w:t>
      </w:r>
      <w:r w:rsidR="007848DA">
        <w:rPr>
          <w:rFonts w:ascii="Calibri" w:hAnsi="Calibri"/>
          <w:sz w:val="22"/>
          <w:szCs w:val="22"/>
        </w:rPr>
        <w:t>an</w:t>
      </w:r>
      <w:r w:rsidR="009A4995">
        <w:rPr>
          <w:rFonts w:ascii="Calibri" w:hAnsi="Calibri"/>
          <w:sz w:val="22"/>
          <w:szCs w:val="22"/>
        </w:rPr>
        <w:t xml:space="preserve"> personeelstekort. Hierdoor hebben we minder tijd gehad om de patiënten op onze lijst te doorlopen. Omdat een juiste diagnostiek van belang is voor de behandeling </w:t>
      </w:r>
      <w:r w:rsidR="007848DA">
        <w:rPr>
          <w:rFonts w:ascii="Calibri" w:hAnsi="Calibri"/>
          <w:sz w:val="22"/>
          <w:szCs w:val="22"/>
        </w:rPr>
        <w:t xml:space="preserve">alg hier </w:t>
      </w:r>
      <w:r w:rsidR="009A4995">
        <w:rPr>
          <w:rFonts w:ascii="Calibri" w:hAnsi="Calibri"/>
          <w:sz w:val="22"/>
          <w:szCs w:val="22"/>
        </w:rPr>
        <w:t xml:space="preserve">het focuspunt. </w:t>
      </w:r>
      <w:r>
        <w:rPr>
          <w:rFonts w:ascii="Calibri" w:hAnsi="Calibri"/>
          <w:sz w:val="22"/>
          <w:szCs w:val="22"/>
        </w:rPr>
        <w:t xml:space="preserve"> </w:t>
      </w:r>
    </w:p>
    <w:p w:rsidR="00E533BD" w:rsidRDefault="00E533BD" w:rsidP="00E533BD">
      <w:pPr>
        <w:pStyle w:val="Normaalweb"/>
        <w:spacing w:before="0" w:beforeAutospacing="0" w:after="0" w:afterAutospacing="0"/>
        <w:rPr>
          <w:rStyle w:val="Kop1Char"/>
          <w:b/>
          <w:color w:val="70AD47" w:themeColor="accent6"/>
        </w:rPr>
      </w:pPr>
    </w:p>
    <w:p w:rsidR="00E533BD" w:rsidRPr="0014206C" w:rsidRDefault="00E533BD" w:rsidP="00E533BD">
      <w:pPr>
        <w:pStyle w:val="Normaalweb"/>
        <w:spacing w:before="0" w:beforeAutospacing="0" w:after="0" w:afterAutospacing="0"/>
        <w:rPr>
          <w:rFonts w:asciiTheme="minorHAnsi" w:hAnsiTheme="minorHAnsi"/>
          <w:color w:val="70AD47" w:themeColor="accent6"/>
          <w:sz w:val="22"/>
          <w:szCs w:val="22"/>
        </w:rPr>
      </w:pPr>
      <w:r w:rsidRPr="0014206C">
        <w:rPr>
          <w:rStyle w:val="Kop1Char"/>
          <w:b/>
          <w:color w:val="70AD47" w:themeColor="accent6"/>
        </w:rPr>
        <w:t>OUDERZORG</w:t>
      </w:r>
      <w:r w:rsidRPr="0014206C">
        <w:rPr>
          <w:rFonts w:asciiTheme="minorHAnsi" w:hAnsiTheme="minorHAnsi"/>
          <w:color w:val="70AD47" w:themeColor="accent6"/>
          <w:sz w:val="22"/>
          <w:szCs w:val="22"/>
        </w:rPr>
        <w:t xml:space="preserve"> </w:t>
      </w:r>
    </w:p>
    <w:p w:rsidR="004334C1" w:rsidRDefault="00462CC7" w:rsidP="004334C1">
      <w:pPr>
        <w:pStyle w:val="Normaalweb"/>
        <w:rPr>
          <w:rFonts w:asciiTheme="minorHAnsi" w:hAnsiTheme="minorHAnsi"/>
          <w:sz w:val="22"/>
          <w:szCs w:val="22"/>
        </w:rPr>
      </w:pPr>
      <w:r w:rsidRPr="00A81A44">
        <w:rPr>
          <w:rFonts w:asciiTheme="minorHAnsi" w:hAnsiTheme="minorHAnsi"/>
          <w:sz w:val="22"/>
          <w:szCs w:val="22"/>
        </w:rPr>
        <w:t>Bij vermoeden va</w:t>
      </w:r>
      <w:r w:rsidR="00015634">
        <w:rPr>
          <w:rFonts w:asciiTheme="minorHAnsi" w:hAnsiTheme="minorHAnsi"/>
          <w:sz w:val="22"/>
          <w:szCs w:val="22"/>
        </w:rPr>
        <w:t>n cognitieve problemen brengen we dit in kaart</w:t>
      </w:r>
      <w:r w:rsidRPr="00A81A44">
        <w:rPr>
          <w:rFonts w:asciiTheme="minorHAnsi" w:hAnsiTheme="minorHAnsi"/>
          <w:sz w:val="22"/>
          <w:szCs w:val="22"/>
        </w:rPr>
        <w:t xml:space="preserve"> en </w:t>
      </w:r>
      <w:r w:rsidR="00015634">
        <w:rPr>
          <w:rFonts w:asciiTheme="minorHAnsi" w:hAnsiTheme="minorHAnsi"/>
          <w:sz w:val="22"/>
          <w:szCs w:val="22"/>
        </w:rPr>
        <w:t xml:space="preserve">koppelen we </w:t>
      </w:r>
      <w:r w:rsidRPr="00A81A44">
        <w:rPr>
          <w:rFonts w:asciiTheme="minorHAnsi" w:hAnsiTheme="minorHAnsi"/>
          <w:sz w:val="22"/>
          <w:szCs w:val="22"/>
        </w:rPr>
        <w:t>patiënten aan de casemanager dementie. 2x per jaar wordt er een overleg gehouden tussen de POH/PVK en de verschillende thuiszorgteams. De patiënten die tot de huisartsenpraktijk behoren worden dan kort besproken. Het doel is om vroegtijdig eventuele problemen te signaleren en aan te pakken. Korte lijnen tussen de patiënt, mantelzorgers, thuiszorg en de huisartsenpraktijk zijn hierin va</w:t>
      </w:r>
      <w:r w:rsidR="004334C1" w:rsidRPr="00A81A44">
        <w:rPr>
          <w:rFonts w:asciiTheme="minorHAnsi" w:hAnsiTheme="minorHAnsi"/>
          <w:sz w:val="22"/>
          <w:szCs w:val="22"/>
        </w:rPr>
        <w:t xml:space="preserve">n wezenlijk belang. </w:t>
      </w:r>
    </w:p>
    <w:p w:rsidR="007848DA" w:rsidRDefault="007848DA" w:rsidP="004334C1">
      <w:pPr>
        <w:pStyle w:val="Normaalweb"/>
      </w:pPr>
      <w:r>
        <w:rPr>
          <w:rFonts w:asciiTheme="minorHAnsi" w:hAnsiTheme="minorHAnsi"/>
          <w:sz w:val="22"/>
          <w:szCs w:val="22"/>
        </w:rPr>
        <w:t>Eind 2022 zij</w:t>
      </w:r>
      <w:r w:rsidR="00136CDB">
        <w:rPr>
          <w:rFonts w:asciiTheme="minorHAnsi" w:hAnsiTheme="minorHAnsi"/>
          <w:sz w:val="22"/>
          <w:szCs w:val="22"/>
        </w:rPr>
        <w:t>n we</w:t>
      </w:r>
      <w:r>
        <w:rPr>
          <w:rFonts w:asciiTheme="minorHAnsi" w:hAnsiTheme="minorHAnsi"/>
          <w:sz w:val="22"/>
          <w:szCs w:val="22"/>
        </w:rPr>
        <w:t xml:space="preserve"> gestart met het actief screenen van onze 75+ populatie. Elke patiënt van 75 jaar of ouder heeft een brief ontvangen met daarop een screeningslijst op kwetsbaarheid, een verzoek om de contactgegevens van 1</w:t>
      </w:r>
      <w:r w:rsidRPr="007848DA">
        <w:rPr>
          <w:rFonts w:asciiTheme="minorHAnsi" w:hAnsiTheme="minorHAnsi"/>
          <w:sz w:val="22"/>
          <w:szCs w:val="22"/>
          <w:vertAlign w:val="superscript"/>
        </w:rPr>
        <w:t>e</w:t>
      </w:r>
      <w:r>
        <w:rPr>
          <w:rFonts w:asciiTheme="minorHAnsi" w:hAnsiTheme="minorHAnsi"/>
          <w:sz w:val="22"/>
          <w:szCs w:val="22"/>
        </w:rPr>
        <w:t xml:space="preserve"> contactpersonen aan </w:t>
      </w:r>
      <w:r w:rsidRPr="00164881">
        <w:rPr>
          <w:rFonts w:asciiTheme="minorHAnsi" w:hAnsiTheme="minorHAnsi" w:cstheme="minorHAnsi"/>
          <w:sz w:val="22"/>
          <w:szCs w:val="22"/>
        </w:rPr>
        <w:t>ons door te geven en een aanbieding om een ACP gesprek te voeren. De respons was heel goed</w:t>
      </w:r>
      <w:r w:rsidR="00164881" w:rsidRPr="00164881">
        <w:rPr>
          <w:rFonts w:asciiTheme="minorHAnsi" w:hAnsiTheme="minorHAnsi" w:cstheme="minorHAnsi"/>
          <w:sz w:val="22"/>
          <w:szCs w:val="22"/>
        </w:rPr>
        <w:t xml:space="preserve">. </w:t>
      </w:r>
      <w:r w:rsidR="00164881" w:rsidRPr="00164881">
        <w:rPr>
          <w:rFonts w:asciiTheme="minorHAnsi" w:hAnsiTheme="minorHAnsi" w:cstheme="minorHAnsi"/>
          <w:sz w:val="22"/>
          <w:szCs w:val="22"/>
          <w:shd w:val="clear" w:color="auto" w:fill="FFFFFF"/>
        </w:rPr>
        <w:t>We hebben 749 brieven ver</w:t>
      </w:r>
      <w:r w:rsidR="00164881">
        <w:rPr>
          <w:rFonts w:asciiTheme="minorHAnsi" w:hAnsiTheme="minorHAnsi" w:cstheme="minorHAnsi"/>
          <w:sz w:val="22"/>
          <w:szCs w:val="22"/>
          <w:shd w:val="clear" w:color="auto" w:fill="FFFFFF"/>
        </w:rPr>
        <w:t>zonden en tot nu toe zijn er 470</w:t>
      </w:r>
      <w:r w:rsidR="00164881" w:rsidRPr="00164881">
        <w:rPr>
          <w:rFonts w:asciiTheme="minorHAnsi" w:hAnsiTheme="minorHAnsi" w:cstheme="minorHAnsi"/>
          <w:sz w:val="22"/>
          <w:szCs w:val="22"/>
          <w:shd w:val="clear" w:color="auto" w:fill="FFFFFF"/>
        </w:rPr>
        <w:t xml:space="preserve"> brieven retour gekomen. </w:t>
      </w:r>
    </w:p>
    <w:tbl>
      <w:tblPr>
        <w:tblStyle w:val="Tabelraster"/>
        <w:tblW w:w="9067" w:type="dxa"/>
        <w:tblLook w:val="04A0" w:firstRow="1" w:lastRow="0" w:firstColumn="1" w:lastColumn="0" w:noHBand="0" w:noVBand="1"/>
      </w:tblPr>
      <w:tblGrid>
        <w:gridCol w:w="5665"/>
        <w:gridCol w:w="1560"/>
        <w:gridCol w:w="1842"/>
      </w:tblGrid>
      <w:tr w:rsidR="004334C1" w:rsidTr="006D62D8">
        <w:tc>
          <w:tcPr>
            <w:tcW w:w="5665" w:type="dxa"/>
            <w:shd w:val="clear" w:color="auto" w:fill="C5E0B3" w:themeFill="accent6" w:themeFillTint="66"/>
          </w:tcPr>
          <w:p w:rsidR="004334C1" w:rsidRPr="006D62D8" w:rsidRDefault="004334C1" w:rsidP="007B4355">
            <w:pPr>
              <w:rPr>
                <w:b/>
              </w:rPr>
            </w:pPr>
            <w:r w:rsidRPr="006D62D8">
              <w:rPr>
                <w:b/>
              </w:rPr>
              <w:t>Registratie screening ouderenzorg 2021</w:t>
            </w:r>
          </w:p>
        </w:tc>
        <w:tc>
          <w:tcPr>
            <w:tcW w:w="1560" w:type="dxa"/>
            <w:shd w:val="clear" w:color="auto" w:fill="C5E0B3" w:themeFill="accent6" w:themeFillTint="66"/>
          </w:tcPr>
          <w:p w:rsidR="004334C1" w:rsidRPr="006D62D8" w:rsidRDefault="004334C1" w:rsidP="007B4355">
            <w:pPr>
              <w:rPr>
                <w:b/>
              </w:rPr>
            </w:pPr>
            <w:r w:rsidRPr="006D62D8">
              <w:rPr>
                <w:b/>
              </w:rPr>
              <w:t>Aantal</w:t>
            </w:r>
          </w:p>
        </w:tc>
        <w:tc>
          <w:tcPr>
            <w:tcW w:w="1842" w:type="dxa"/>
            <w:shd w:val="clear" w:color="auto" w:fill="C5E0B3" w:themeFill="accent6" w:themeFillTint="66"/>
          </w:tcPr>
          <w:p w:rsidR="004334C1" w:rsidRPr="006D62D8" w:rsidRDefault="004334C1" w:rsidP="007B4355">
            <w:pPr>
              <w:rPr>
                <w:b/>
              </w:rPr>
            </w:pPr>
            <w:r w:rsidRPr="006D62D8">
              <w:rPr>
                <w:b/>
              </w:rPr>
              <w:t>Percentage</w:t>
            </w:r>
          </w:p>
        </w:tc>
      </w:tr>
      <w:tr w:rsidR="004334C1" w:rsidTr="006D62D8">
        <w:tc>
          <w:tcPr>
            <w:tcW w:w="5665" w:type="dxa"/>
          </w:tcPr>
          <w:p w:rsidR="004334C1" w:rsidRPr="006D62D8" w:rsidRDefault="004334C1" w:rsidP="007B4355">
            <w:r w:rsidRPr="006D62D8">
              <w:t>Totaal 75+</w:t>
            </w:r>
          </w:p>
        </w:tc>
        <w:tc>
          <w:tcPr>
            <w:tcW w:w="1560" w:type="dxa"/>
          </w:tcPr>
          <w:p w:rsidR="004334C1" w:rsidRPr="006D62D8" w:rsidRDefault="009A4995" w:rsidP="007B4355">
            <w:r>
              <w:t>750</w:t>
            </w:r>
          </w:p>
        </w:tc>
        <w:tc>
          <w:tcPr>
            <w:tcW w:w="1842" w:type="dxa"/>
          </w:tcPr>
          <w:p w:rsidR="006D62D8" w:rsidRPr="006D62D8" w:rsidRDefault="004334C1" w:rsidP="007B4355">
            <w:r w:rsidRPr="006D62D8">
              <w:t>100%</w:t>
            </w:r>
          </w:p>
        </w:tc>
      </w:tr>
      <w:tr w:rsidR="004334C1" w:rsidTr="006D62D8">
        <w:tc>
          <w:tcPr>
            <w:tcW w:w="5665" w:type="dxa"/>
          </w:tcPr>
          <w:p w:rsidR="004334C1" w:rsidRPr="006D62D8" w:rsidRDefault="006D62D8" w:rsidP="006D62D8">
            <w:r>
              <w:t>Aantal 75+ gescreend maar bleek niet kwetsbaar</w:t>
            </w:r>
          </w:p>
        </w:tc>
        <w:tc>
          <w:tcPr>
            <w:tcW w:w="1560" w:type="dxa"/>
          </w:tcPr>
          <w:p w:rsidR="004334C1" w:rsidRPr="006D62D8" w:rsidRDefault="00164881" w:rsidP="007B4355">
            <w:r>
              <w:t>321</w:t>
            </w:r>
          </w:p>
        </w:tc>
        <w:tc>
          <w:tcPr>
            <w:tcW w:w="1842" w:type="dxa"/>
          </w:tcPr>
          <w:p w:rsidR="004334C1" w:rsidRPr="006D62D8" w:rsidRDefault="00164881" w:rsidP="007B4355">
            <w:r>
              <w:t>42.8</w:t>
            </w:r>
          </w:p>
        </w:tc>
      </w:tr>
      <w:tr w:rsidR="004334C1" w:rsidTr="006D62D8">
        <w:tc>
          <w:tcPr>
            <w:tcW w:w="5665" w:type="dxa"/>
          </w:tcPr>
          <w:p w:rsidR="004334C1" w:rsidRPr="006D62D8" w:rsidRDefault="006D62D8" w:rsidP="007B4355">
            <w:r>
              <w:t>Aantal kwetsbare ouderen</w:t>
            </w:r>
          </w:p>
        </w:tc>
        <w:tc>
          <w:tcPr>
            <w:tcW w:w="1560" w:type="dxa"/>
          </w:tcPr>
          <w:p w:rsidR="004334C1" w:rsidRPr="006D62D8" w:rsidRDefault="009A4995" w:rsidP="007B4355">
            <w:r>
              <w:t>158</w:t>
            </w:r>
          </w:p>
        </w:tc>
        <w:tc>
          <w:tcPr>
            <w:tcW w:w="1842" w:type="dxa"/>
          </w:tcPr>
          <w:p w:rsidR="004334C1" w:rsidRPr="006D62D8" w:rsidRDefault="00164881" w:rsidP="007B4355">
            <w:r>
              <w:t>21.07</w:t>
            </w:r>
          </w:p>
        </w:tc>
      </w:tr>
      <w:tr w:rsidR="004334C1" w:rsidTr="006D62D8">
        <w:tc>
          <w:tcPr>
            <w:tcW w:w="5665" w:type="dxa"/>
          </w:tcPr>
          <w:p w:rsidR="004334C1" w:rsidRPr="006D62D8" w:rsidRDefault="006D62D8" w:rsidP="007B4355">
            <w:r>
              <w:t xml:space="preserve">Aantal </w:t>
            </w:r>
            <w:r w:rsidR="004334C1" w:rsidRPr="006D62D8">
              <w:t>75</w:t>
            </w:r>
            <w:r>
              <w:t>+</w:t>
            </w:r>
            <w:r w:rsidR="004334C1" w:rsidRPr="006D62D8">
              <w:t xml:space="preserve"> </w:t>
            </w:r>
            <w:r>
              <w:t xml:space="preserve">patiënten </w:t>
            </w:r>
            <w:r w:rsidR="007848DA">
              <w:t xml:space="preserve">opnieuw </w:t>
            </w:r>
            <w:r w:rsidR="004334C1" w:rsidRPr="006D62D8">
              <w:t>gescreend op kwetsbaarheid</w:t>
            </w:r>
          </w:p>
        </w:tc>
        <w:tc>
          <w:tcPr>
            <w:tcW w:w="1560" w:type="dxa"/>
          </w:tcPr>
          <w:p w:rsidR="004334C1" w:rsidRPr="006D62D8" w:rsidRDefault="007848DA" w:rsidP="007B4355">
            <w:r>
              <w:t>61</w:t>
            </w:r>
          </w:p>
        </w:tc>
        <w:tc>
          <w:tcPr>
            <w:tcW w:w="1842" w:type="dxa"/>
          </w:tcPr>
          <w:p w:rsidR="004334C1" w:rsidRPr="006D62D8" w:rsidRDefault="00164881" w:rsidP="007B4355">
            <w:r>
              <w:t>8.3%</w:t>
            </w:r>
          </w:p>
        </w:tc>
      </w:tr>
      <w:tr w:rsidR="004334C1" w:rsidTr="006D62D8">
        <w:tc>
          <w:tcPr>
            <w:tcW w:w="5665" w:type="dxa"/>
          </w:tcPr>
          <w:p w:rsidR="004334C1" w:rsidRPr="006D62D8" w:rsidRDefault="006D62D8" w:rsidP="007B4355">
            <w:r>
              <w:t xml:space="preserve">ACP </w:t>
            </w:r>
            <w:r w:rsidR="00164881">
              <w:t xml:space="preserve">voor het eerst </w:t>
            </w:r>
            <w:r>
              <w:t>besproken met een kwetsbare patiënt</w:t>
            </w:r>
          </w:p>
        </w:tc>
        <w:tc>
          <w:tcPr>
            <w:tcW w:w="1560" w:type="dxa"/>
          </w:tcPr>
          <w:p w:rsidR="004334C1" w:rsidRPr="006D62D8" w:rsidRDefault="007848DA" w:rsidP="007B4355">
            <w:r>
              <w:t>42</w:t>
            </w:r>
          </w:p>
        </w:tc>
        <w:tc>
          <w:tcPr>
            <w:tcW w:w="1842" w:type="dxa"/>
          </w:tcPr>
          <w:p w:rsidR="004334C1" w:rsidRPr="006D62D8" w:rsidRDefault="00164881" w:rsidP="007B4355">
            <w:r>
              <w:t>26,58%  van de kwetsbare ouderen</w:t>
            </w:r>
          </w:p>
        </w:tc>
      </w:tr>
    </w:tbl>
    <w:p w:rsidR="004334C1" w:rsidRDefault="004334C1" w:rsidP="004334C1">
      <w:pPr>
        <w:spacing w:after="0"/>
        <w:rPr>
          <w:sz w:val="16"/>
          <w:szCs w:val="16"/>
        </w:rPr>
      </w:pPr>
    </w:p>
    <w:p w:rsidR="0014206C" w:rsidRDefault="0014206C" w:rsidP="004334C1"/>
    <w:p w:rsidR="0014206C" w:rsidRDefault="0014206C" w:rsidP="004334C1"/>
    <w:p w:rsidR="004334C1" w:rsidRPr="00220B31" w:rsidRDefault="004334C1" w:rsidP="004334C1">
      <w:r w:rsidRPr="00220B31">
        <w:lastRenderedPageBreak/>
        <w:t xml:space="preserve">Ons lokale netwerk </w:t>
      </w:r>
      <w:r w:rsidR="006D62D8">
        <w:t>rondom ouderenzorg waar we als praktijk mee samenwerken:</w:t>
      </w:r>
    </w:p>
    <w:p w:rsidR="004334C1" w:rsidRDefault="004334C1" w:rsidP="004334C1">
      <w:pPr>
        <w:pStyle w:val="Lijstalinea"/>
        <w:numPr>
          <w:ilvl w:val="0"/>
          <w:numId w:val="1"/>
        </w:numPr>
        <w:spacing w:after="0"/>
      </w:pPr>
      <w:r>
        <w:t>Welzijn Barneveld</w:t>
      </w:r>
    </w:p>
    <w:p w:rsidR="004334C1" w:rsidRPr="00220B31" w:rsidRDefault="004334C1" w:rsidP="004334C1">
      <w:pPr>
        <w:pStyle w:val="Lijstalinea"/>
        <w:numPr>
          <w:ilvl w:val="0"/>
          <w:numId w:val="1"/>
        </w:numPr>
        <w:spacing w:after="0"/>
      </w:pPr>
      <w:r w:rsidRPr="00220B31">
        <w:t xml:space="preserve">Lokale alliantie ouderenmishandeling </w:t>
      </w:r>
    </w:p>
    <w:p w:rsidR="004334C1" w:rsidRPr="00220B31" w:rsidRDefault="006D62D8" w:rsidP="004334C1">
      <w:pPr>
        <w:pStyle w:val="Lijstalinea"/>
        <w:numPr>
          <w:ilvl w:val="0"/>
          <w:numId w:val="1"/>
        </w:numPr>
        <w:spacing w:after="0"/>
      </w:pPr>
      <w:r>
        <w:t>We hebben c</w:t>
      </w:r>
      <w:r w:rsidR="004334C1" w:rsidRPr="00220B31">
        <w:t>ontacten thuiszorgorgani</w:t>
      </w:r>
      <w:r>
        <w:t xml:space="preserve">saties en casemanagers. </w:t>
      </w:r>
      <w:r w:rsidR="004334C1" w:rsidRPr="00220B31">
        <w:t xml:space="preserve">Per thuiszorgteam </w:t>
      </w:r>
      <w:r>
        <w:t xml:space="preserve">houden we </w:t>
      </w:r>
      <w:r w:rsidR="004334C1" w:rsidRPr="00220B31">
        <w:t xml:space="preserve">2 jaarlijks een klein MDO tussen wijkverpleging en POH-S. Alle kwetsbare ouderen worden doorgenomen en acties worden uitgezet. </w:t>
      </w:r>
    </w:p>
    <w:p w:rsidR="004334C1" w:rsidRPr="00220B31" w:rsidRDefault="004334C1" w:rsidP="004334C1">
      <w:pPr>
        <w:pStyle w:val="Lijstalinea"/>
        <w:numPr>
          <w:ilvl w:val="0"/>
          <w:numId w:val="1"/>
        </w:numPr>
        <w:spacing w:after="0"/>
      </w:pPr>
      <w:r w:rsidRPr="00220B31">
        <w:t xml:space="preserve">Indien nodig </w:t>
      </w:r>
      <w:r w:rsidR="006D62D8">
        <w:t>organiseren we een groot MDO met de s</w:t>
      </w:r>
      <w:r>
        <w:t>p</w:t>
      </w:r>
      <w:r w:rsidR="006D62D8">
        <w:t>e</w:t>
      </w:r>
      <w:r>
        <w:t>cialist ouderen</w:t>
      </w:r>
      <w:r w:rsidR="006D62D8">
        <w:t>, thuiszorg, h</w:t>
      </w:r>
      <w:r w:rsidRPr="00220B31">
        <w:t>uisarts, POH</w:t>
      </w:r>
      <w:r w:rsidR="006D62D8">
        <w:t>-S/GGZ</w:t>
      </w:r>
      <w:r w:rsidRPr="00220B31">
        <w:t xml:space="preserve">, </w:t>
      </w:r>
      <w:r w:rsidR="006D62D8">
        <w:t xml:space="preserve">de </w:t>
      </w:r>
      <w:r w:rsidRPr="00220B31">
        <w:t xml:space="preserve">patiënt en/of mantelzorger </w:t>
      </w:r>
      <w:r w:rsidR="006D62D8">
        <w:t xml:space="preserve"> en eventuele</w:t>
      </w:r>
      <w:r w:rsidRPr="00220B31">
        <w:t xml:space="preserve"> andere disciplines</w:t>
      </w:r>
    </w:p>
    <w:p w:rsidR="004334C1" w:rsidRPr="00220B31" w:rsidRDefault="004334C1" w:rsidP="004334C1">
      <w:pPr>
        <w:pStyle w:val="Lijstalinea"/>
        <w:numPr>
          <w:ilvl w:val="0"/>
          <w:numId w:val="1"/>
        </w:numPr>
        <w:spacing w:after="0"/>
      </w:pPr>
      <w:r>
        <w:t>Valpreventie (G</w:t>
      </w:r>
      <w:r w:rsidRPr="00220B31">
        <w:t xml:space="preserve">ezondheidshuis) </w:t>
      </w:r>
    </w:p>
    <w:p w:rsidR="004334C1" w:rsidRPr="00220B31" w:rsidRDefault="004334C1" w:rsidP="004334C1">
      <w:pPr>
        <w:pStyle w:val="Lijstalinea"/>
        <w:numPr>
          <w:ilvl w:val="0"/>
          <w:numId w:val="1"/>
        </w:numPr>
        <w:spacing w:after="0"/>
      </w:pPr>
      <w:r>
        <w:t xml:space="preserve">Keten Dementie  </w:t>
      </w:r>
      <w:r w:rsidR="006D62D8">
        <w:t xml:space="preserve">(Casemanagers) </w:t>
      </w:r>
    </w:p>
    <w:p w:rsidR="004334C1" w:rsidRPr="00635108" w:rsidRDefault="004334C1" w:rsidP="004334C1">
      <w:pPr>
        <w:spacing w:after="0"/>
        <w:rPr>
          <w:sz w:val="16"/>
          <w:szCs w:val="16"/>
        </w:rPr>
      </w:pPr>
    </w:p>
    <w:p w:rsidR="00A81A44" w:rsidRPr="0014206C" w:rsidRDefault="006D62D8" w:rsidP="009D5D9A">
      <w:pPr>
        <w:pStyle w:val="Kop1"/>
        <w:rPr>
          <w:b/>
          <w:color w:val="70AD47" w:themeColor="accent6"/>
          <w:sz w:val="28"/>
          <w:szCs w:val="28"/>
        </w:rPr>
      </w:pPr>
      <w:r w:rsidRPr="0014206C">
        <w:rPr>
          <w:b/>
          <w:color w:val="70AD47" w:themeColor="accent6"/>
          <w:sz w:val="28"/>
          <w:szCs w:val="28"/>
        </w:rPr>
        <w:t>POH-GGZ ALGEMEEN</w:t>
      </w:r>
    </w:p>
    <w:p w:rsidR="009D5D9A" w:rsidRDefault="009D5D9A" w:rsidP="009D5D9A">
      <w:pPr>
        <w:pStyle w:val="Geenafstand"/>
      </w:pPr>
      <w:r>
        <w:t xml:space="preserve">De POH-GGZ heeft in het afgelopen jaar een verdere toename gezien van het aantal patiënten met Corona gerelateerde klachten en ook meer klachten van overspanning en burn-out. Ook bemerken we dat er meer patiënten met zwaardere problematiek bij de POH-GGZ terecht komen. De oorzaak daarvan kan liggen in de lange wachtlijsten voor behandeling in de Generalistische Basis GGZ of Specialistische GGZ. </w:t>
      </w:r>
    </w:p>
    <w:p w:rsidR="009D5D9A" w:rsidRDefault="009D5D9A" w:rsidP="009D5D9A">
      <w:pPr>
        <w:pStyle w:val="Geenafstand"/>
      </w:pPr>
    </w:p>
    <w:p w:rsidR="009D5D9A" w:rsidRDefault="009D5D9A" w:rsidP="009D5D9A">
      <w:pPr>
        <w:pStyle w:val="Geenafstand"/>
      </w:pPr>
      <w:r>
        <w:t>Het interco</w:t>
      </w:r>
      <w:r w:rsidR="00136CDB">
        <w:t>llegiaal overleg is weer fysiek voortgezet.</w:t>
      </w:r>
    </w:p>
    <w:p w:rsidR="00A81A44" w:rsidRPr="0014206C" w:rsidRDefault="006D62D8" w:rsidP="009D5D9A">
      <w:pPr>
        <w:pStyle w:val="Kop1"/>
        <w:rPr>
          <w:b/>
          <w:color w:val="70AD47" w:themeColor="accent6"/>
          <w:sz w:val="28"/>
          <w:szCs w:val="28"/>
        </w:rPr>
      </w:pPr>
      <w:r w:rsidRPr="0014206C">
        <w:rPr>
          <w:b/>
          <w:color w:val="70AD47" w:themeColor="accent6"/>
          <w:sz w:val="28"/>
          <w:szCs w:val="28"/>
        </w:rPr>
        <w:t>VERWIJSINDEX</w:t>
      </w:r>
    </w:p>
    <w:p w:rsidR="00B31C0C" w:rsidRDefault="00B31C0C" w:rsidP="00B31C0C">
      <w:r>
        <w:t xml:space="preserve">De verwijsindex is binnen de huisartsenpraktijk geïmplementeerd. </w:t>
      </w:r>
    </w:p>
    <w:p w:rsidR="00B31C0C" w:rsidRDefault="00B31C0C" w:rsidP="00B31C0C">
      <w:pPr>
        <w:shd w:val="clear" w:color="auto" w:fill="FFFFFF"/>
        <w:rPr>
          <w:color w:val="000000"/>
          <w:lang w:eastAsia="nl-NL"/>
        </w:rPr>
      </w:pPr>
      <w:r>
        <w:rPr>
          <w:color w:val="000000"/>
          <w:lang w:eastAsia="nl-NL"/>
        </w:rPr>
        <w:t xml:space="preserve">De Verwijsindex is het instrument dat samenwerking met organisaties en instanties voor kind/jongere en gezin ondersteunt. Het waarborgt de betrokkenheid voor een afgebakende tijd bij de kinderen/jongeren waarover zorgen bestaan. </w:t>
      </w:r>
    </w:p>
    <w:p w:rsidR="00B31C0C" w:rsidRDefault="00B31C0C" w:rsidP="00B31C0C">
      <w:r>
        <w:t xml:space="preserve">De huisartsen en de </w:t>
      </w:r>
      <w:proofErr w:type="spellStart"/>
      <w:r>
        <w:t>poh</w:t>
      </w:r>
      <w:proofErr w:type="spellEnd"/>
      <w:r>
        <w:t>-ggz hebben de bevoegdheid om een signaal af te geven in de verwijsindex.</w:t>
      </w:r>
    </w:p>
    <w:p w:rsidR="00A81A44" w:rsidRPr="0014206C" w:rsidRDefault="00A81A44" w:rsidP="009D5D9A">
      <w:pPr>
        <w:pStyle w:val="Kop1"/>
        <w:rPr>
          <w:b/>
          <w:color w:val="70AD47" w:themeColor="accent6"/>
          <w:sz w:val="28"/>
          <w:szCs w:val="28"/>
        </w:rPr>
      </w:pPr>
      <w:r w:rsidRPr="0014206C">
        <w:rPr>
          <w:b/>
          <w:color w:val="70AD47" w:themeColor="accent6"/>
          <w:sz w:val="28"/>
          <w:szCs w:val="28"/>
        </w:rPr>
        <w:t>S</w:t>
      </w:r>
      <w:r w:rsidR="006D62D8" w:rsidRPr="0014206C">
        <w:rPr>
          <w:b/>
          <w:color w:val="70AD47" w:themeColor="accent6"/>
          <w:sz w:val="28"/>
          <w:szCs w:val="28"/>
        </w:rPr>
        <w:t>TAGIAIRES</w:t>
      </w:r>
      <w:r w:rsidR="00F5118D" w:rsidRPr="0014206C">
        <w:rPr>
          <w:b/>
          <w:color w:val="70AD47" w:themeColor="accent6"/>
          <w:sz w:val="28"/>
          <w:szCs w:val="28"/>
        </w:rPr>
        <w:t xml:space="preserve">  </w:t>
      </w:r>
    </w:p>
    <w:p w:rsidR="00A81A44" w:rsidRDefault="00A81A44" w:rsidP="00A81A44">
      <w:pPr>
        <w:pStyle w:val="Geenafstand"/>
      </w:pPr>
      <w:r>
        <w:t>In 202</w:t>
      </w:r>
      <w:r w:rsidR="007C7B4D">
        <w:t>2</w:t>
      </w:r>
      <w:r w:rsidR="00015634">
        <w:t xml:space="preserve"> hebben we </w:t>
      </w:r>
      <w:r w:rsidR="00F5118D">
        <w:t xml:space="preserve">met BOL en 1 BBL stagiaire </w:t>
      </w:r>
      <w:r w:rsidR="00015634">
        <w:t>gehad</w:t>
      </w:r>
      <w:r w:rsidR="007C7B4D">
        <w:t xml:space="preserve"> bij de assistenten. De stagiaire die in 2021 is gestart in het </w:t>
      </w:r>
      <w:r w:rsidR="00015634">
        <w:t>POH</w:t>
      </w:r>
      <w:r w:rsidR="00F5118D">
        <w:t xml:space="preserve">-S team </w:t>
      </w:r>
      <w:r w:rsidR="007C7B4D">
        <w:t xml:space="preserve">heeft </w:t>
      </w:r>
      <w:r w:rsidR="00015634">
        <w:t>eind</w:t>
      </w:r>
      <w:r w:rsidR="006C1E09">
        <w:t xml:space="preserve"> </w:t>
      </w:r>
      <w:r w:rsidR="00015634">
        <w:t>2022</w:t>
      </w:r>
      <w:r w:rsidR="007C7B4D">
        <w:t xml:space="preserve"> haar opleiding afgerond</w:t>
      </w:r>
      <w:r w:rsidR="00015634">
        <w:t>.</w:t>
      </w:r>
      <w:r w:rsidR="007C7B4D">
        <w:t xml:space="preserve"> In september is er een nieuwe stagiaire gestart en zij hoopt eind november 2023 haar diploma te halen</w:t>
      </w:r>
    </w:p>
    <w:p w:rsidR="00F5118D" w:rsidRDefault="00F5118D" w:rsidP="00A81A44">
      <w:pPr>
        <w:pStyle w:val="Geenafstand"/>
      </w:pPr>
    </w:p>
    <w:p w:rsidR="007C7B4D" w:rsidRDefault="007C7B4D" w:rsidP="00A81A44">
      <w:pPr>
        <w:pStyle w:val="Geenafstand"/>
      </w:pPr>
      <w:r>
        <w:t xml:space="preserve">Bij de huisartsen werd weer een opleidingsplaats ingevuld. Ditmaal een laatstejaars. Zo hebben we als praktijk een bijdrage gedaan aan de oplossing  van de arbeidskrapte in de huisartsenwereld. </w:t>
      </w:r>
    </w:p>
    <w:p w:rsidR="00136CDB" w:rsidRDefault="00136CDB" w:rsidP="00A81A44">
      <w:pPr>
        <w:pStyle w:val="Geenafstand"/>
      </w:pPr>
    </w:p>
    <w:p w:rsidR="00136CDB" w:rsidRDefault="00136CDB" w:rsidP="00136CDB">
      <w:r>
        <w:t xml:space="preserve">In september is er een reeds opgeleide POH-GGZ gestart binnen een werkervaringsplek. Deze POH-GGZ had de opleiding POH-GGZ al eerder afgerond en een verzoek gedaan om voor een periode van een half jaar binnen huisartsenpraktijk de Burgt  werkervaring op te doen. Het is de bedoeling dat zij tot de zomer blijft van 2023 blijft. </w:t>
      </w:r>
    </w:p>
    <w:p w:rsidR="00136CDB" w:rsidRDefault="00136CDB" w:rsidP="00A81A44">
      <w:pPr>
        <w:pStyle w:val="Geenafstand"/>
      </w:pPr>
    </w:p>
    <w:p w:rsidR="00462CC7" w:rsidRPr="00E533BD" w:rsidRDefault="006D62D8" w:rsidP="009D5D9A">
      <w:pPr>
        <w:pStyle w:val="Kop1"/>
        <w:rPr>
          <w:b/>
          <w:color w:val="70AD47" w:themeColor="accent6"/>
          <w:sz w:val="28"/>
          <w:szCs w:val="28"/>
        </w:rPr>
      </w:pPr>
      <w:r w:rsidRPr="00E533BD">
        <w:rPr>
          <w:b/>
          <w:color w:val="70AD47" w:themeColor="accent6"/>
          <w:sz w:val="28"/>
          <w:szCs w:val="28"/>
        </w:rPr>
        <w:lastRenderedPageBreak/>
        <w:t>CRP-PRIKKEN</w:t>
      </w:r>
    </w:p>
    <w:p w:rsidR="0014206C" w:rsidRDefault="0014206C" w:rsidP="009D5D9A">
      <w:pPr>
        <w:pStyle w:val="Kop1"/>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 xml:space="preserve">‘CRP’ staat voor ‘C-reactief proteïne’. CRP is een eiwit, dat gemaakt wordt in de lever. Het wort in de bloedbaan gebracht om bacteriële ontstekingen te remmen. Als iemand een bacteriële ontsteking heeft, dan neemt de hoeveelheid CRP in het bloed binnen 6-8 uur flink toe. Daarom is een CRP-meting een goede methode om een bacteriële ontsteking vast te stellen. Een CRP </w:t>
      </w:r>
      <w:proofErr w:type="spellStart"/>
      <w:r>
        <w:rPr>
          <w:rFonts w:ascii="Calibri" w:hAnsi="Calibri" w:cs="Calibri"/>
          <w:color w:val="242424"/>
          <w:sz w:val="22"/>
          <w:szCs w:val="22"/>
          <w:shd w:val="clear" w:color="auto" w:fill="FFFFFF"/>
        </w:rPr>
        <w:t>sneltest</w:t>
      </w:r>
      <w:proofErr w:type="spellEnd"/>
      <w:r>
        <w:rPr>
          <w:rFonts w:ascii="Calibri" w:hAnsi="Calibri" w:cs="Calibri"/>
          <w:color w:val="242424"/>
          <w:sz w:val="22"/>
          <w:szCs w:val="22"/>
          <w:shd w:val="clear" w:color="auto" w:fill="FFFFFF"/>
        </w:rPr>
        <w:t xml:space="preserve"> helpt de huisarts om te bepalen of een behandeling met bijvoorbeeld antibiotica nodig is of niet. Hierdoor wordt er minder vaak onterecht antibiotica voorgeschreven. Antibioticum wordt zo tegengegaan. Totaal aantal CRP geprikt: 557. Totaal aantal antibiotica gestart: 123</w:t>
      </w:r>
    </w:p>
    <w:p w:rsidR="00A81A44" w:rsidRPr="0014206C" w:rsidRDefault="00A81A44" w:rsidP="009D5D9A">
      <w:pPr>
        <w:pStyle w:val="Kop1"/>
        <w:rPr>
          <w:b/>
          <w:color w:val="70AD47" w:themeColor="accent6"/>
          <w:sz w:val="28"/>
          <w:szCs w:val="28"/>
        </w:rPr>
      </w:pPr>
      <w:r w:rsidRPr="0014206C">
        <w:rPr>
          <w:b/>
          <w:color w:val="70AD47" w:themeColor="accent6"/>
          <w:sz w:val="28"/>
          <w:szCs w:val="28"/>
        </w:rPr>
        <w:t>R</w:t>
      </w:r>
      <w:r w:rsidR="006D62D8" w:rsidRPr="0014206C">
        <w:rPr>
          <w:b/>
          <w:color w:val="70AD47" w:themeColor="accent6"/>
          <w:sz w:val="28"/>
          <w:szCs w:val="28"/>
        </w:rPr>
        <w:t xml:space="preserve">EIS ADVISERING </w:t>
      </w:r>
    </w:p>
    <w:p w:rsidR="007C7B4D" w:rsidRDefault="007C7B4D" w:rsidP="007C7B4D">
      <w:pPr>
        <w:spacing w:after="0"/>
      </w:pPr>
      <w:r w:rsidRPr="007C7B4D">
        <w:t>In het jaar 2022 is het aantal reisadviezen wel weer wat omhoog gegaan t.a.v. 2021, maar ook 2022 was een rustig jaar.</w:t>
      </w:r>
      <w:r>
        <w:t xml:space="preserve"> </w:t>
      </w:r>
      <w:r w:rsidRPr="007C7B4D">
        <w:t>2023 lijkt het weer wat aan te trekken gezien het aantal adviezen wat we in de eerste maanden hebben gegeven.</w:t>
      </w:r>
      <w:r>
        <w:t xml:space="preserve"> </w:t>
      </w:r>
      <w:r w:rsidRPr="007C7B4D">
        <w:t xml:space="preserve">2022 hebben we gebruikt om zelf weer op te frissen door middel van het volgen van diverse cursussen. </w:t>
      </w:r>
      <w:r>
        <w:t xml:space="preserve"> </w:t>
      </w:r>
      <w:r w:rsidRPr="007C7B4D">
        <w:t xml:space="preserve">Nu dus opgefrist en wel zijn we helemaal klaar om reizigers te ontvangen! </w:t>
      </w:r>
    </w:p>
    <w:p w:rsidR="00B31C0C" w:rsidRDefault="00B31C0C" w:rsidP="007C7B4D">
      <w:pPr>
        <w:spacing w:after="0"/>
      </w:pPr>
    </w:p>
    <w:p w:rsidR="00B31C0C" w:rsidRPr="00115618" w:rsidRDefault="00B31C0C" w:rsidP="00B31C0C">
      <w:pPr>
        <w:pStyle w:val="Kop1"/>
        <w:rPr>
          <w:b/>
          <w:color w:val="70AD47" w:themeColor="accent6"/>
          <w:sz w:val="28"/>
          <w:szCs w:val="28"/>
        </w:rPr>
      </w:pPr>
      <w:r w:rsidRPr="00115618">
        <w:rPr>
          <w:b/>
          <w:color w:val="70AD47" w:themeColor="accent6"/>
          <w:sz w:val="28"/>
          <w:szCs w:val="28"/>
        </w:rPr>
        <w:t>DE PATIËNTEN ADVIESRAAD</w:t>
      </w:r>
    </w:p>
    <w:p w:rsidR="00B31C0C" w:rsidRDefault="00B31C0C" w:rsidP="00B31C0C">
      <w:r>
        <w:rPr>
          <w:color w:val="333333"/>
          <w:shd w:val="clear" w:color="auto" w:fill="FFFFFF"/>
        </w:rPr>
        <w:t xml:space="preserve">De </w:t>
      </w:r>
      <w:r w:rsidR="00136CDB">
        <w:rPr>
          <w:color w:val="333333"/>
          <w:shd w:val="clear" w:color="auto" w:fill="FFFFFF"/>
        </w:rPr>
        <w:t xml:space="preserve">patiënten </w:t>
      </w:r>
      <w:r>
        <w:rPr>
          <w:color w:val="333333"/>
          <w:shd w:val="clear" w:color="auto" w:fill="FFFFFF"/>
        </w:rPr>
        <w:t xml:space="preserve">adviesraad ziet er op toe dat de belangen van de patiënten van de praktijk behartigd worden. </w:t>
      </w:r>
      <w:r>
        <w:t xml:space="preserve">De </w:t>
      </w:r>
      <w:r w:rsidR="00136CDB">
        <w:t xml:space="preserve">patiënten </w:t>
      </w:r>
      <w:r>
        <w:t xml:space="preserve">adviesraad komt 3 x per jaar samen. In 2022 is voor 2 leden de zittingsperiode beëindigd. In 2022 zijn er 3 nieuwe leden bijgekomen en bestaat de </w:t>
      </w:r>
      <w:r w:rsidR="00136CDB">
        <w:t xml:space="preserve">patiënten </w:t>
      </w:r>
      <w:r>
        <w:t>adviesraad nu uit 6 leden.</w:t>
      </w:r>
      <w:r w:rsidR="00136CDB">
        <w:t xml:space="preserve"> </w:t>
      </w:r>
      <w:r>
        <w:t xml:space="preserve">Tijdens een overleg is er een huisarts </w:t>
      </w:r>
      <w:r w:rsidR="00136CDB">
        <w:t>en POH-GGZ</w:t>
      </w:r>
      <w:r>
        <w:t xml:space="preserve"> aanwezig, die informatie verstrekken over de ontwikkelingen binnen de huisartsenpraktijk. </w:t>
      </w:r>
    </w:p>
    <w:p w:rsidR="00630C11" w:rsidRDefault="00630C11" w:rsidP="00B31C0C">
      <w:r>
        <w:t xml:space="preserve"> </w:t>
      </w:r>
    </w:p>
    <w:p w:rsidR="00630C11" w:rsidRPr="00115618" w:rsidRDefault="00630C11" w:rsidP="0014206C">
      <w:pPr>
        <w:pStyle w:val="Kop1"/>
        <w:rPr>
          <w:b/>
          <w:color w:val="70AD47" w:themeColor="accent6"/>
          <w:sz w:val="28"/>
          <w:szCs w:val="28"/>
        </w:rPr>
      </w:pPr>
      <w:r w:rsidRPr="00115618">
        <w:rPr>
          <w:b/>
          <w:color w:val="70AD47" w:themeColor="accent6"/>
          <w:sz w:val="28"/>
          <w:szCs w:val="28"/>
        </w:rPr>
        <w:t xml:space="preserve">VIM </w:t>
      </w:r>
    </w:p>
    <w:p w:rsidR="0014206C" w:rsidRPr="0014206C" w:rsidRDefault="0014206C" w:rsidP="0014206C">
      <w:r>
        <w:t xml:space="preserve">VIM staat voor veilige incident melding. Als praktijk vinden we het belangrijk om scherp te blijven op eventuele onderdelen van onze praktijkvoering die niet goed of niet veilig verlopen. Dit kan op administratief of op medisch vlak zijn. Daarom maken we een VIM aan als er iets niet goed is gegaan. Op deze manier komen we verbeterpunten tegen waarmee we dan aan de slag gaan. De zaken die wij zijn tegengekomen en een actie op hebben gezet zijn: </w:t>
      </w:r>
    </w:p>
    <w:p w:rsidR="00630C11" w:rsidRDefault="00630C11" w:rsidP="0014206C">
      <w:pPr>
        <w:pStyle w:val="Lijstalinea"/>
        <w:numPr>
          <w:ilvl w:val="0"/>
          <w:numId w:val="4"/>
        </w:numPr>
        <w:spacing w:after="0"/>
      </w:pPr>
      <w:r>
        <w:t>Agenda: fouten in planning van de agenda’s</w:t>
      </w:r>
    </w:p>
    <w:p w:rsidR="00630C11" w:rsidRDefault="00630C11" w:rsidP="0014206C">
      <w:pPr>
        <w:pStyle w:val="Lijstalinea"/>
        <w:spacing w:after="0"/>
      </w:pPr>
      <w:r>
        <w:t>Afspraakmelding is gerealiseerd in het HIS patiënten krijgen mail met de afspraak.</w:t>
      </w:r>
    </w:p>
    <w:p w:rsidR="00630C11" w:rsidRDefault="00630C11" w:rsidP="0014206C">
      <w:pPr>
        <w:pStyle w:val="Lijstalinea"/>
        <w:numPr>
          <w:ilvl w:val="0"/>
          <w:numId w:val="4"/>
        </w:numPr>
        <w:spacing w:after="0"/>
      </w:pPr>
      <w:r>
        <w:t>Verwijzingen worden niet op tijd gemaakt.</w:t>
      </w:r>
    </w:p>
    <w:p w:rsidR="00630C11" w:rsidRDefault="00630C11" w:rsidP="0014206C">
      <w:pPr>
        <w:pStyle w:val="Lijstalinea"/>
        <w:spacing w:after="0"/>
      </w:pPr>
      <w:r>
        <w:t xml:space="preserve">In agenda meer ruimte voor gemaakt voor de huisartsen </w:t>
      </w:r>
    </w:p>
    <w:p w:rsidR="00630C11" w:rsidRDefault="00630C11" w:rsidP="0014206C">
      <w:pPr>
        <w:pStyle w:val="Lijstalinea"/>
        <w:numPr>
          <w:ilvl w:val="0"/>
          <w:numId w:val="4"/>
        </w:numPr>
        <w:spacing w:after="0"/>
      </w:pPr>
      <w:r>
        <w:t>Telefonische consulten waren te weinig mogelijk n.a.v. een enquête.</w:t>
      </w:r>
    </w:p>
    <w:p w:rsidR="00630C11" w:rsidRDefault="00630C11" w:rsidP="0014206C">
      <w:pPr>
        <w:pStyle w:val="Lijstalinea"/>
        <w:spacing w:after="0"/>
      </w:pPr>
      <w:r>
        <w:t>Agenda uitgebreid met meer telefonische consulten.</w:t>
      </w:r>
    </w:p>
    <w:p w:rsidR="00630C11" w:rsidRDefault="00630C11" w:rsidP="0014206C">
      <w:pPr>
        <w:pStyle w:val="Lijstalinea"/>
        <w:numPr>
          <w:ilvl w:val="0"/>
          <w:numId w:val="4"/>
        </w:numPr>
        <w:spacing w:after="0"/>
      </w:pPr>
      <w:r>
        <w:t xml:space="preserve">Onduidelijkheid taken personeel&gt;  staat nu uitgelegd op website. </w:t>
      </w:r>
    </w:p>
    <w:p w:rsidR="00630C11" w:rsidRDefault="00630C11" w:rsidP="00791E3C">
      <w:pPr>
        <w:pStyle w:val="Lijstalinea"/>
        <w:numPr>
          <w:ilvl w:val="0"/>
          <w:numId w:val="4"/>
        </w:numPr>
        <w:spacing w:after="0"/>
      </w:pPr>
      <w:r>
        <w:t>Start medicatie bij bijvoorbeeld verhoogde RR 15 tabletten.</w:t>
      </w:r>
      <w:r w:rsidR="0014206C">
        <w:t xml:space="preserve"> </w:t>
      </w:r>
      <w:r>
        <w:t>P</w:t>
      </w:r>
      <w:r w:rsidR="0014206C">
        <w:t>a</w:t>
      </w:r>
      <w:r>
        <w:t>tiënten komen vaak teko</w:t>
      </w:r>
      <w:r w:rsidR="0014206C">
        <w:t>rt voor het volgende onderzoek of d</w:t>
      </w:r>
      <w:r>
        <w:t xml:space="preserve">enken dat het een kuur is en stoppen met inname als de voorraad op is. Nu afspraak 2x 15 tabletten als start voor te schrijven. </w:t>
      </w:r>
    </w:p>
    <w:p w:rsidR="00630C11" w:rsidRDefault="00630C11" w:rsidP="0014206C"/>
    <w:p w:rsidR="00B31C0C" w:rsidRPr="00B31C0C" w:rsidRDefault="00B31C0C" w:rsidP="00B31C0C"/>
    <w:p w:rsidR="00462CC7" w:rsidRDefault="00462CC7" w:rsidP="00462CC7"/>
    <w:p w:rsidR="00462CC7" w:rsidRDefault="00462CC7" w:rsidP="0014206C">
      <w:pPr>
        <w:pStyle w:val="Normaalweb"/>
      </w:pPr>
    </w:p>
    <w:p w:rsidR="00462CC7" w:rsidRDefault="00462CC7" w:rsidP="00462CC7">
      <w:pPr>
        <w:rPr>
          <w:rFonts w:cs="Calibri"/>
          <w:color w:val="000000"/>
        </w:rPr>
      </w:pPr>
    </w:p>
    <w:p w:rsidR="00462CC7" w:rsidRPr="009D3876" w:rsidRDefault="00462CC7" w:rsidP="00462CC7">
      <w:pPr>
        <w:pStyle w:val="Default"/>
        <w:rPr>
          <w:rFonts w:asciiTheme="minorHAnsi" w:hAnsiTheme="minorHAnsi"/>
          <w:sz w:val="22"/>
          <w:szCs w:val="22"/>
        </w:rPr>
      </w:pPr>
    </w:p>
    <w:p w:rsidR="00462CC7" w:rsidRDefault="00462CC7" w:rsidP="00462CC7"/>
    <w:sectPr w:rsidR="00462C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011"/>
    <w:multiLevelType w:val="hybridMultilevel"/>
    <w:tmpl w:val="EA1A90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E431BDE"/>
    <w:multiLevelType w:val="hybridMultilevel"/>
    <w:tmpl w:val="85FA5F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14147DD"/>
    <w:multiLevelType w:val="hybridMultilevel"/>
    <w:tmpl w:val="79AE98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8273577"/>
    <w:multiLevelType w:val="hybridMultilevel"/>
    <w:tmpl w:val="D3921A6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CC7"/>
    <w:rsid w:val="00015634"/>
    <w:rsid w:val="00115618"/>
    <w:rsid w:val="00136CDB"/>
    <w:rsid w:val="0014206C"/>
    <w:rsid w:val="00164881"/>
    <w:rsid w:val="0030724A"/>
    <w:rsid w:val="003E636C"/>
    <w:rsid w:val="00431284"/>
    <w:rsid w:val="004334C1"/>
    <w:rsid w:val="00462CC7"/>
    <w:rsid w:val="00630C11"/>
    <w:rsid w:val="006C1E09"/>
    <w:rsid w:val="006D62D8"/>
    <w:rsid w:val="007848DA"/>
    <w:rsid w:val="007C7B4D"/>
    <w:rsid w:val="00913D8D"/>
    <w:rsid w:val="00930F87"/>
    <w:rsid w:val="009A4995"/>
    <w:rsid w:val="009D0DE3"/>
    <w:rsid w:val="009D5D9A"/>
    <w:rsid w:val="00A54695"/>
    <w:rsid w:val="00A60073"/>
    <w:rsid w:val="00A81A44"/>
    <w:rsid w:val="00AB5300"/>
    <w:rsid w:val="00B31C0C"/>
    <w:rsid w:val="00C55DD9"/>
    <w:rsid w:val="00CC0F43"/>
    <w:rsid w:val="00E533BD"/>
    <w:rsid w:val="00E54949"/>
    <w:rsid w:val="00EA02FB"/>
    <w:rsid w:val="00F5118D"/>
    <w:rsid w:val="00F83C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13396"/>
  <w15:chartTrackingRefBased/>
  <w15:docId w15:val="{B5154BCF-D6B1-4C55-ADE9-3B04EC5D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9D5D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1420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62CC7"/>
    <w:pPr>
      <w:autoSpaceDE w:val="0"/>
      <w:autoSpaceDN w:val="0"/>
      <w:adjustRightInd w:val="0"/>
      <w:spacing w:after="0" w:line="240" w:lineRule="auto"/>
    </w:pPr>
    <w:rPr>
      <w:rFonts w:ascii="Calibri" w:hAnsi="Calibri" w:cs="Calibri"/>
      <w:color w:val="000000"/>
      <w:sz w:val="24"/>
      <w:szCs w:val="24"/>
    </w:rPr>
  </w:style>
  <w:style w:type="paragraph" w:styleId="Normaalweb">
    <w:name w:val="Normal (Web)"/>
    <w:basedOn w:val="Standaard"/>
    <w:uiPriority w:val="99"/>
    <w:unhideWhenUsed/>
    <w:rsid w:val="00462CC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A81A44"/>
    <w:pPr>
      <w:spacing w:after="0" w:line="240" w:lineRule="auto"/>
    </w:pPr>
  </w:style>
  <w:style w:type="paragraph" w:customStyle="1" w:styleId="xmsonormal">
    <w:name w:val="x_msonormal"/>
    <w:basedOn w:val="Standaard"/>
    <w:rsid w:val="00A81A44"/>
    <w:pPr>
      <w:spacing w:after="0" w:line="240" w:lineRule="auto"/>
    </w:pPr>
    <w:rPr>
      <w:rFonts w:ascii="Calibri" w:hAnsi="Calibri" w:cs="Times New Roman"/>
      <w:lang w:eastAsia="nl-NL"/>
    </w:rPr>
  </w:style>
  <w:style w:type="table" w:styleId="Tabelraster">
    <w:name w:val="Table Grid"/>
    <w:basedOn w:val="Standaardtabel"/>
    <w:uiPriority w:val="39"/>
    <w:rsid w:val="00433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334C1"/>
    <w:pPr>
      <w:ind w:left="720"/>
      <w:contextualSpacing/>
    </w:pPr>
  </w:style>
  <w:style w:type="character" w:customStyle="1" w:styleId="Kop1Char">
    <w:name w:val="Kop 1 Char"/>
    <w:basedOn w:val="Standaardalinea-lettertype"/>
    <w:link w:val="Kop1"/>
    <w:uiPriority w:val="9"/>
    <w:rsid w:val="009D5D9A"/>
    <w:rPr>
      <w:rFonts w:asciiTheme="majorHAnsi" w:eastAsiaTheme="majorEastAsia" w:hAnsiTheme="majorHAnsi" w:cstheme="majorBidi"/>
      <w:color w:val="2E74B5" w:themeColor="accent1" w:themeShade="BF"/>
      <w:sz w:val="32"/>
      <w:szCs w:val="32"/>
    </w:rPr>
  </w:style>
  <w:style w:type="character" w:styleId="Zwaar">
    <w:name w:val="Strong"/>
    <w:basedOn w:val="Standaardalinea-lettertype"/>
    <w:uiPriority w:val="22"/>
    <w:qFormat/>
    <w:rsid w:val="00164881"/>
    <w:rPr>
      <w:b/>
      <w:bCs/>
    </w:rPr>
  </w:style>
  <w:style w:type="character" w:customStyle="1" w:styleId="Kop2Char">
    <w:name w:val="Kop 2 Char"/>
    <w:basedOn w:val="Standaardalinea-lettertype"/>
    <w:link w:val="Kop2"/>
    <w:uiPriority w:val="9"/>
    <w:rsid w:val="0014206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4380">
      <w:bodyDiv w:val="1"/>
      <w:marLeft w:val="0"/>
      <w:marRight w:val="0"/>
      <w:marTop w:val="0"/>
      <w:marBottom w:val="0"/>
      <w:divBdr>
        <w:top w:val="none" w:sz="0" w:space="0" w:color="auto"/>
        <w:left w:val="none" w:sz="0" w:space="0" w:color="auto"/>
        <w:bottom w:val="none" w:sz="0" w:space="0" w:color="auto"/>
        <w:right w:val="none" w:sz="0" w:space="0" w:color="auto"/>
      </w:divBdr>
    </w:div>
    <w:div w:id="201134267">
      <w:bodyDiv w:val="1"/>
      <w:marLeft w:val="0"/>
      <w:marRight w:val="0"/>
      <w:marTop w:val="0"/>
      <w:marBottom w:val="0"/>
      <w:divBdr>
        <w:top w:val="none" w:sz="0" w:space="0" w:color="auto"/>
        <w:left w:val="none" w:sz="0" w:space="0" w:color="auto"/>
        <w:bottom w:val="none" w:sz="0" w:space="0" w:color="auto"/>
        <w:right w:val="none" w:sz="0" w:space="0" w:color="auto"/>
      </w:divBdr>
    </w:div>
    <w:div w:id="495390187">
      <w:bodyDiv w:val="1"/>
      <w:marLeft w:val="0"/>
      <w:marRight w:val="0"/>
      <w:marTop w:val="0"/>
      <w:marBottom w:val="0"/>
      <w:divBdr>
        <w:top w:val="none" w:sz="0" w:space="0" w:color="auto"/>
        <w:left w:val="none" w:sz="0" w:space="0" w:color="auto"/>
        <w:bottom w:val="none" w:sz="0" w:space="0" w:color="auto"/>
        <w:right w:val="none" w:sz="0" w:space="0" w:color="auto"/>
      </w:divBdr>
    </w:div>
    <w:div w:id="973297029">
      <w:bodyDiv w:val="1"/>
      <w:marLeft w:val="0"/>
      <w:marRight w:val="0"/>
      <w:marTop w:val="0"/>
      <w:marBottom w:val="0"/>
      <w:divBdr>
        <w:top w:val="none" w:sz="0" w:space="0" w:color="auto"/>
        <w:left w:val="none" w:sz="0" w:space="0" w:color="auto"/>
        <w:bottom w:val="none" w:sz="0" w:space="0" w:color="auto"/>
        <w:right w:val="none" w:sz="0" w:space="0" w:color="auto"/>
      </w:divBdr>
    </w:div>
    <w:div w:id="1725332432">
      <w:bodyDiv w:val="1"/>
      <w:marLeft w:val="0"/>
      <w:marRight w:val="0"/>
      <w:marTop w:val="0"/>
      <w:marBottom w:val="0"/>
      <w:divBdr>
        <w:top w:val="none" w:sz="0" w:space="0" w:color="auto"/>
        <w:left w:val="none" w:sz="0" w:space="0" w:color="auto"/>
        <w:bottom w:val="none" w:sz="0" w:space="0" w:color="auto"/>
        <w:right w:val="none" w:sz="0" w:space="0" w:color="auto"/>
      </w:divBdr>
    </w:div>
    <w:div w:id="1902984419">
      <w:bodyDiv w:val="1"/>
      <w:marLeft w:val="0"/>
      <w:marRight w:val="0"/>
      <w:marTop w:val="0"/>
      <w:marBottom w:val="0"/>
      <w:divBdr>
        <w:top w:val="none" w:sz="0" w:space="0" w:color="auto"/>
        <w:left w:val="none" w:sz="0" w:space="0" w:color="auto"/>
        <w:bottom w:val="none" w:sz="0" w:space="0" w:color="auto"/>
        <w:right w:val="none" w:sz="0" w:space="0" w:color="auto"/>
      </w:divBdr>
    </w:div>
    <w:div w:id="207030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AEC244967A07459425D4116729C9D6" ma:contentTypeVersion="20" ma:contentTypeDescription="Een nieuw document maken." ma:contentTypeScope="" ma:versionID="ca76b009f605944ac543a24359804a6b">
  <xsd:schema xmlns:xsd="http://www.w3.org/2001/XMLSchema" xmlns:xs="http://www.w3.org/2001/XMLSchema" xmlns:p="http://schemas.microsoft.com/office/2006/metadata/properties" xmlns:ns1="http://schemas.microsoft.com/sharepoint/v3" xmlns:ns2="f39a54a1-da39-43cf-9164-891eedfb596d" xmlns:ns3="e1108906-6396-476c-919f-5fc2f2f9e802" targetNamespace="http://schemas.microsoft.com/office/2006/metadata/properties" ma:root="true" ma:fieldsID="4bde936e7dd06af4dd898081072a9ee2" ns1:_="" ns2:_="" ns3:_="">
    <xsd:import namespace="http://schemas.microsoft.com/sharepoint/v3"/>
    <xsd:import namespace="f39a54a1-da39-43cf-9164-891eedfb596d"/>
    <xsd:import namespace="e1108906-6396-476c-919f-5fc2f2f9e80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Verantwoordelijke" minOccurs="0"/>
                <xsd:element ref="ns2:Herziennaaantaljaar" minOccurs="0"/>
                <xsd:element ref="ns2:Laatstereviewop" minOccurs="0"/>
                <xsd:element ref="ns3:SharedWithUsers" minOccurs="0"/>
                <xsd:element ref="ns3:SharedWithDetails" minOccurs="0"/>
                <xsd:element ref="ns2:MediaLengthInSeconds"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Eigenschappen van het geïntegreerd beleid voor naleving" ma:hidden="true" ma:internalName="_ip_UnifiedCompliancePolicyProperties">
      <xsd:simpleType>
        <xsd:restriction base="dms:Note"/>
      </xsd:simpleType>
    </xsd:element>
    <xsd:element name="_ip_UnifiedCompliancePolicyUIAction" ma:index="26"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9a54a1-da39-43cf-9164-891eedfb5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1558645c-f95a-404c-95a6-b4688e6eddf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Verantwoordelijke" ma:index="16" nillable="true" ma:displayName="Verantwoordelijke" ma:format="Dropdown" ma:list="UserInfo" ma:SharePointGroup="0" ma:internalName="Verantwoordelijk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erziennaaantaljaar" ma:index="17" nillable="true" ma:displayName="Herzien na aantal jaar" ma:format="Dropdown" ma:internalName="Herziennaaantaljaar">
      <xsd:simpleType>
        <xsd:restriction base="dms:Choice">
          <xsd:enumeration value="1"/>
          <xsd:enumeration value="2"/>
          <xsd:enumeration value="3"/>
          <xsd:enumeration value="4"/>
          <xsd:enumeration value="5"/>
        </xsd:restriction>
      </xsd:simpleType>
    </xsd:element>
    <xsd:element name="Laatstereviewop" ma:index="18" nillable="true" ma:displayName="Laatste review op" ma:format="DateOnly" ma:internalName="Laatstereviewop">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108906-6396-476c-919f-5fc2f2f9e80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e08f4c5-2b9e-43cc-968b-16d215b44c09}" ma:internalName="TaxCatchAll" ma:showField="CatchAllData" ma:web="e1108906-6396-476c-919f-5fc2f2f9e80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1108906-6396-476c-919f-5fc2f2f9e802">
      <UserInfo>
        <DisplayName>Thea Vlastuin</DisplayName>
        <AccountId>15</AccountId>
        <AccountType/>
      </UserInfo>
      <UserInfo>
        <DisplayName>Lisette 't Mannetje</DisplayName>
        <AccountId>16</AccountId>
        <AccountType/>
      </UserInfo>
      <UserInfo>
        <DisplayName>Alinda Docter</DisplayName>
        <AccountId>12</AccountId>
        <AccountType/>
      </UserInfo>
      <UserInfo>
        <DisplayName>Alinda Docter</DisplayName>
        <AccountId>17</AccountId>
        <AccountType/>
      </UserInfo>
    </SharedWithUsers>
    <Verantwoordelijke xmlns="f39a54a1-da39-43cf-9164-891eedfb596d">
      <UserInfo>
        <DisplayName/>
        <AccountId xsi:nil="true"/>
        <AccountType/>
      </UserInfo>
    </Verantwoordelijke>
    <lcf76f155ced4ddcb4097134ff3c332f xmlns="f39a54a1-da39-43cf-9164-891eedfb596d">
      <Terms xmlns="http://schemas.microsoft.com/office/infopath/2007/PartnerControls"/>
    </lcf76f155ced4ddcb4097134ff3c332f>
    <TaxCatchAll xmlns="e1108906-6396-476c-919f-5fc2f2f9e802" xsi:nil="true"/>
    <Laatstereviewop xmlns="f39a54a1-da39-43cf-9164-891eedfb596d" xsi:nil="true"/>
    <Herziennaaantaljaar xmlns="f39a54a1-da39-43cf-9164-891eedfb596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34804D0-4E9C-44CB-9207-0C16D7D3AAEB}"/>
</file>

<file path=customXml/itemProps2.xml><?xml version="1.0" encoding="utf-8"?>
<ds:datastoreItem xmlns:ds="http://schemas.openxmlformats.org/officeDocument/2006/customXml" ds:itemID="{AC512A50-7E1C-4A6A-B3DB-7AD69885AED5}"/>
</file>

<file path=customXml/itemProps3.xml><?xml version="1.0" encoding="utf-8"?>
<ds:datastoreItem xmlns:ds="http://schemas.openxmlformats.org/officeDocument/2006/customXml" ds:itemID="{0DF50149-DCB6-44D2-B9F9-BD5419180CA5}"/>
</file>

<file path=docProps/app.xml><?xml version="1.0" encoding="utf-8"?>
<Properties xmlns="http://schemas.openxmlformats.org/officeDocument/2006/extended-properties" xmlns:vt="http://schemas.openxmlformats.org/officeDocument/2006/docPropsVTypes">
  <Template>Normal.dotm</Template>
  <TotalTime>161</TotalTime>
  <Pages>6</Pages>
  <Words>1751</Words>
  <Characters>9633</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CSC</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L.W.C. 't Mannetje</dc:creator>
  <cp:keywords/>
  <dc:description/>
  <cp:lastModifiedBy>Alinda | Huisartsenpraktijk de Burgt</cp:lastModifiedBy>
  <cp:revision>8</cp:revision>
  <dcterms:created xsi:type="dcterms:W3CDTF">2023-03-09T09:45:00Z</dcterms:created>
  <dcterms:modified xsi:type="dcterms:W3CDTF">2023-03-23T09:04:00Z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0x01010027AEC244967A07459425D4116729C9D6</vt:lpwstr>
  </property>
</Properties>
</file>